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b/>
          <w:color w:val="64748B"/>
          <w:sz w:val="22"/>
        </w:rPr>
        <w:t>WHITE PAPER</w:t>
      </w:r>
    </w:p>
    <w:p>
      <w:pPr>
        <w:spacing w:before="40" w:after="120"/>
        <w:jc w:val="center"/>
      </w:pPr>
      <w:r>
        <w:rPr>
          <w:b/>
          <w:color w:val="1E40AF"/>
          <w:sz w:val="34"/>
        </w:rPr>
        <w:t>Zero-Trust Network Architecture:</w:t>
        <w:br/>
        <w:t>A Practical Implementation Guide for Mid-Market Enterprises</w:t>
      </w:r>
    </w:p>
    <w:p>
      <w:pPr>
        <w:spacing w:before="0" w:after="320"/>
        <w:jc w:val="center"/>
      </w:pPr>
      <w:r>
        <w:rPr>
          <w:b w:val="0"/>
          <w:color w:val="64748B"/>
          <w:sz w:val="20"/>
        </w:rPr>
        <w:t>Published: March 2026  |  Version 1.2  |  TechSec Consulting Group</w:t>
      </w:r>
    </w:p>
    <w:p>
      <w:pPr>
        <w:spacing w:before="40" w:after="40"/>
        <w:pBdr>
          <w:bottom w:val="single" w:sz="6" w:space="1" w:color="CBD5E1"/>
        </w:pBdr>
      </w:pPr>
    </w:p>
    <w:p>
      <w:pPr>
        <w:spacing w:before="200" w:after="80"/>
        <w:jc w:val="left"/>
      </w:pPr>
      <w:r>
        <w:rPr>
          <w:b/>
          <w:color w:val="1E40AF"/>
          <w:sz w:val="22"/>
        </w:rPr>
        <w:t>ABSTRACT</w:t>
      </w:r>
    </w:p>
    <w:p>
      <w:pPr>
        <w:spacing w:after="100"/>
      </w:pPr>
      <w:r>
        <w:rPr>
          <w:color w:val="1E293B"/>
          <w:sz w:val="22"/>
        </w:rPr>
        <w:t>Zero-trust network architecture (ZTNA) has emerged as the prevailing security model for organizations operating in hybrid and multi-cloud environments. Unlike perimeter-based security, ZTNA operates on the principle of never trust, always verify -- requiring continuous authentication and least-privilege access regardless of network location. This white paper examines the practical steps mid-market enterprises can take to migrate from legacy VPN-based access controls to a mature zero-trust posture, including tooling selection, phased rollout planning, and ROI measurement frameworks.</w:t>
      </w:r>
    </w:p>
    <w:p>
      <w:pPr>
        <w:spacing w:before="40" w:after="40"/>
        <w:pBdr>
          <w:bottom w:val="single" w:sz="6" w:space="1" w:color="CBD5E1"/>
        </w:pBdr>
      </w:pPr>
    </w:p>
    <w:p>
      <w:pPr>
        <w:spacing w:before="200" w:after="80"/>
        <w:jc w:val="left"/>
      </w:pPr>
      <w:r>
        <w:rPr>
          <w:b/>
          <w:color w:val="1E40AF"/>
          <w:sz w:val="22"/>
        </w:rPr>
        <w:t>INTRODUCTION</w:t>
      </w:r>
    </w:p>
    <w:p>
      <w:pPr>
        <w:spacing w:after="100"/>
      </w:pPr>
      <w:r>
        <w:rPr>
          <w:color w:val="1E293B"/>
          <w:sz w:val="22"/>
        </w:rPr>
        <w:t>The modern enterprise network no longer has a clearly defined perimeter. Remote work, cloud-hosted applications, third-party integrations, and BYOD policies have dissolved the traditional network edge that legacy firewalls and VPNs were designed to protect.</w:t>
      </w:r>
    </w:p>
    <w:p>
      <w:pPr>
        <w:spacing w:after="100"/>
      </w:pPr>
      <w:r>
        <w:rPr>
          <w:color w:val="1E293B"/>
          <w:sz w:val="22"/>
        </w:rPr>
        <w:t>Attackers have adapted accordingly. The 2025 Verizon Data Breach Investigations Report found that 74% of breaches involved credential abuse or social engineering -- attack vectors that perimeter security is structurally incapable of stopping. Zero-trust addresses this by eliminating implicit trust and enforcing granular authorization at every access decision.</w:t>
      </w:r>
    </w:p>
    <w:p>
      <w:pPr>
        <w:spacing w:before="40" w:after="40"/>
        <w:pBdr>
          <w:bottom w:val="single" w:sz="6" w:space="1" w:color="CBD5E1"/>
        </w:pBdr>
      </w:pPr>
    </w:p>
    <w:p>
      <w:pPr>
        <w:spacing w:before="200" w:after="80"/>
        <w:jc w:val="left"/>
      </w:pPr>
      <w:r>
        <w:rPr>
          <w:b/>
          <w:color w:val="1E40AF"/>
          <w:sz w:val="22"/>
        </w:rPr>
        <w:t>PROBLEM STATEMENT</w:t>
      </w:r>
    </w:p>
    <w:p>
      <w:pPr>
        <w:spacing w:after="100"/>
      </w:pPr>
      <w:r>
        <w:rPr>
          <w:color w:val="1E293B"/>
          <w:sz w:val="22"/>
        </w:rPr>
        <w:t>Mid-market organizations face a specific challenge: they have accumulated technical debt in the form of legacy VPN infrastructure and flat internal network segments, yet they lack the dedicated security engineering teams that large enterprises deploy for ZTNA migrations. The result is a dangerous middle ground: organizations large enough to be high-value targets, but without the maturity to defend against credential-based lateral movement.</w:t>
      </w:r>
    </w:p>
    <w:p>
      <w:pPr>
        <w:spacing w:before="40" w:after="40"/>
        <w:pBdr>
          <w:bottom w:val="single" w:sz="6" w:space="1" w:color="CBD5E1"/>
        </w:pBdr>
      </w:pPr>
    </w:p>
    <w:p>
      <w:pPr>
        <w:spacing w:before="200" w:after="80"/>
        <w:jc w:val="left"/>
      </w:pPr>
      <w:r>
        <w:rPr>
          <w:b/>
          <w:color w:val="1E40AF"/>
          <w:sz w:val="22"/>
        </w:rPr>
        <w:t>ZERO-TRUST CORE PRINCIPLES</w:t>
      </w:r>
    </w:p>
    <w:p>
      <w:pPr>
        <w:pStyle w:val="ListBullet"/>
        <w:spacing w:after="60"/>
      </w:pPr>
      <w:r>
        <w:rPr>
          <w:color w:val="1E293B"/>
          <w:sz w:val="22"/>
        </w:rPr>
        <w:t>Verify explicitly: Authenticate and authorize every request using all available data points -- identity, location, device health, service, data classification, and anomalies.</w:t>
      </w:r>
    </w:p>
    <w:p>
      <w:pPr>
        <w:pStyle w:val="ListBullet"/>
        <w:spacing w:after="60"/>
      </w:pPr>
      <w:r>
        <w:rPr>
          <w:color w:val="1E293B"/>
          <w:sz w:val="22"/>
        </w:rPr>
        <w:t>Use least-privilege access: Limit user access with just-in-time and just-enough-access policies, risk-based adaptive policies, and data protection.</w:t>
      </w:r>
    </w:p>
    <w:p>
      <w:pPr>
        <w:pStyle w:val="ListBullet"/>
        <w:spacing w:after="60"/>
      </w:pPr>
      <w:r>
        <w:rPr>
          <w:color w:val="1E293B"/>
          <w:sz w:val="22"/>
        </w:rPr>
        <w:t>Assume breach: Minimize blast radius and segment access. Verify end-to-end encryption and use analytics to gain visibility, drive threat detection, and improve defenses.</w:t>
      </w:r>
    </w:p>
    <w:p/>
    <w:p>
      <w:pPr>
        <w:spacing w:before="40" w:after="40"/>
        <w:pBdr>
          <w:bottom w:val="single" w:sz="6" w:space="1" w:color="CBD5E1"/>
        </w:pBdr>
      </w:pPr>
    </w:p>
    <w:p>
      <w:pPr>
        <w:spacing w:before="200" w:after="80"/>
        <w:jc w:val="left"/>
      </w:pPr>
      <w:r>
        <w:rPr>
          <w:b/>
          <w:color w:val="1E40AF"/>
          <w:sz w:val="22"/>
        </w:rPr>
        <w:t>IMPLEMENTATION ROADMAP</w:t>
      </w:r>
    </w:p>
    <w:tbl>
      <w:tblPr>
        <w:tblStyle w:val="TableGrid"/>
        <w:tblW w:type="auto" w:w="0"/>
        <w:tblLook w:firstColumn="1" w:firstRow="1" w:lastColumn="0" w:lastRow="0" w:noHBand="0" w:noVBand="1" w:val="04A0"/>
      </w:tblPr>
      <w:tblGrid>
        <w:gridCol w:w="2232"/>
        <w:gridCol w:w="2232"/>
        <w:gridCol w:w="2232"/>
        <w:gridCol w:w="2232"/>
      </w:tblGrid>
      <w:tr>
        <w:tc>
          <w:tcPr>
            <w:tcW w:type="dxa" w:w="2232"/>
            <w:shd w:val="clear" w:color="auto" w:fill="1E40AF"/>
          </w:tcPr>
          <w:p>
            <w:r>
              <w:rPr>
                <w:b/>
                <w:color w:val="FFFFFF"/>
                <w:sz w:val="20"/>
              </w:rPr>
              <w:t>Phase</w:t>
            </w:r>
          </w:p>
        </w:tc>
        <w:tc>
          <w:tcPr>
            <w:tcW w:type="dxa" w:w="2232"/>
            <w:shd w:val="clear" w:color="auto" w:fill="1E40AF"/>
          </w:tcPr>
          <w:p>
            <w:r>
              <w:rPr>
                <w:b/>
                <w:color w:val="FFFFFF"/>
                <w:sz w:val="20"/>
              </w:rPr>
              <w:t>Duration</w:t>
            </w:r>
          </w:p>
        </w:tc>
        <w:tc>
          <w:tcPr>
            <w:tcW w:type="dxa" w:w="2232"/>
            <w:shd w:val="clear" w:color="auto" w:fill="1E40AF"/>
          </w:tcPr>
          <w:p>
            <w:r>
              <w:rPr>
                <w:b/>
                <w:color w:val="FFFFFF"/>
                <w:sz w:val="20"/>
              </w:rPr>
              <w:t>Scope</w:t>
            </w:r>
          </w:p>
        </w:tc>
        <w:tc>
          <w:tcPr>
            <w:tcW w:type="dxa" w:w="2232"/>
            <w:shd w:val="clear" w:color="auto" w:fill="1E40AF"/>
          </w:tcPr>
          <w:p>
            <w:r>
              <w:rPr>
                <w:b/>
                <w:color w:val="FFFFFF"/>
                <w:sz w:val="20"/>
              </w:rPr>
              <w:t>Key Deliverable</w:t>
            </w:r>
          </w:p>
        </w:tc>
      </w:tr>
      <w:tr>
        <w:tc>
          <w:tcPr>
            <w:tcW w:type="dxa" w:w="2232"/>
            <w:shd w:val="clear" w:color="auto" w:fill="F0F4FF"/>
          </w:tcPr>
          <w:p>
            <w:r>
              <w:rPr>
                <w:sz w:val="20"/>
              </w:rPr>
              <w:t>1: Identity Foundation</w:t>
            </w:r>
          </w:p>
        </w:tc>
        <w:tc>
          <w:tcPr>
            <w:tcW w:type="dxa" w:w="2232"/>
            <w:shd w:val="clear" w:color="auto" w:fill="F0F4FF"/>
          </w:tcPr>
          <w:p>
            <w:r>
              <w:rPr>
                <w:sz w:val="20"/>
              </w:rPr>
              <w:t>8 weeks</w:t>
            </w:r>
          </w:p>
        </w:tc>
        <w:tc>
          <w:tcPr>
            <w:tcW w:type="dxa" w:w="2232"/>
            <w:shd w:val="clear" w:color="auto" w:fill="F0F4FF"/>
          </w:tcPr>
          <w:p>
            <w:r>
              <w:rPr>
                <w:sz w:val="20"/>
              </w:rPr>
              <w:t>IAM, MFA enforcement, SSO rollout</w:t>
            </w:r>
          </w:p>
        </w:tc>
        <w:tc>
          <w:tcPr>
            <w:tcW w:type="dxa" w:w="2232"/>
            <w:shd w:val="clear" w:color="auto" w:fill="F0F4FF"/>
          </w:tcPr>
          <w:p>
            <w:r>
              <w:rPr>
                <w:sz w:val="20"/>
              </w:rPr>
              <w:t>100% MFA coverage for privileged accounts</w:t>
            </w:r>
          </w:p>
        </w:tc>
      </w:tr>
      <w:tr>
        <w:tc>
          <w:tcPr>
            <w:tcW w:type="dxa" w:w="2232"/>
            <w:shd w:val="clear" w:color="auto" w:fill="FFFFFF"/>
          </w:tcPr>
          <w:p>
            <w:r>
              <w:rPr>
                <w:sz w:val="20"/>
              </w:rPr>
              <w:t>2: Device Trust</w:t>
            </w:r>
          </w:p>
        </w:tc>
        <w:tc>
          <w:tcPr>
            <w:tcW w:type="dxa" w:w="2232"/>
            <w:shd w:val="clear" w:color="auto" w:fill="FFFFFF"/>
          </w:tcPr>
          <w:p>
            <w:r>
              <w:rPr>
                <w:sz w:val="20"/>
              </w:rPr>
              <w:t>6 weeks</w:t>
            </w:r>
          </w:p>
        </w:tc>
        <w:tc>
          <w:tcPr>
            <w:tcW w:type="dxa" w:w="2232"/>
            <w:shd w:val="clear" w:color="auto" w:fill="FFFFFF"/>
          </w:tcPr>
          <w:p>
            <w:r>
              <w:rPr>
                <w:sz w:val="20"/>
              </w:rPr>
              <w:t>MDM enrollment, device posture policies</w:t>
            </w:r>
          </w:p>
        </w:tc>
        <w:tc>
          <w:tcPr>
            <w:tcW w:type="dxa" w:w="2232"/>
            <w:shd w:val="clear" w:color="auto" w:fill="FFFFFF"/>
          </w:tcPr>
          <w:p>
            <w:r>
              <w:rPr>
                <w:sz w:val="20"/>
              </w:rPr>
              <w:t>Device compliance dashboard live</w:t>
            </w:r>
          </w:p>
        </w:tc>
      </w:tr>
      <w:tr>
        <w:tc>
          <w:tcPr>
            <w:tcW w:type="dxa" w:w="2232"/>
            <w:shd w:val="clear" w:color="auto" w:fill="F0F4FF"/>
          </w:tcPr>
          <w:p>
            <w:r>
              <w:rPr>
                <w:sz w:val="20"/>
              </w:rPr>
              <w:t>3: Micro-Segmentation</w:t>
            </w:r>
          </w:p>
        </w:tc>
        <w:tc>
          <w:tcPr>
            <w:tcW w:type="dxa" w:w="2232"/>
            <w:shd w:val="clear" w:color="auto" w:fill="F0F4FF"/>
          </w:tcPr>
          <w:p>
            <w:r>
              <w:rPr>
                <w:sz w:val="20"/>
              </w:rPr>
              <w:t>10 weeks</w:t>
            </w:r>
          </w:p>
        </w:tc>
        <w:tc>
          <w:tcPr>
            <w:tcW w:type="dxa" w:w="2232"/>
            <w:shd w:val="clear" w:color="auto" w:fill="F0F4FF"/>
          </w:tcPr>
          <w:p>
            <w:r>
              <w:rPr>
                <w:sz w:val="20"/>
              </w:rPr>
              <w:t>East-west traffic policies, app isolation</w:t>
            </w:r>
          </w:p>
        </w:tc>
        <w:tc>
          <w:tcPr>
            <w:tcW w:type="dxa" w:w="2232"/>
            <w:shd w:val="clear" w:color="auto" w:fill="F0F4FF"/>
          </w:tcPr>
          <w:p>
            <w:r>
              <w:rPr>
                <w:sz w:val="20"/>
              </w:rPr>
              <w:t>Zero lateral movement in production VLAN</w:t>
            </w:r>
          </w:p>
        </w:tc>
      </w:tr>
      <w:tr>
        <w:tc>
          <w:tcPr>
            <w:tcW w:type="dxa" w:w="2232"/>
            <w:shd w:val="clear" w:color="auto" w:fill="FFFFFF"/>
          </w:tcPr>
          <w:p>
            <w:r>
              <w:rPr>
                <w:sz w:val="20"/>
              </w:rPr>
              <w:t>4: Continuous Monitoring</w:t>
            </w:r>
          </w:p>
        </w:tc>
        <w:tc>
          <w:tcPr>
            <w:tcW w:type="dxa" w:w="2232"/>
            <w:shd w:val="clear" w:color="auto" w:fill="FFFFFF"/>
          </w:tcPr>
          <w:p>
            <w:r>
              <w:rPr>
                <w:sz w:val="20"/>
              </w:rPr>
              <w:t>Ongoing</w:t>
            </w:r>
          </w:p>
        </w:tc>
        <w:tc>
          <w:tcPr>
            <w:tcW w:type="dxa" w:w="2232"/>
            <w:shd w:val="clear" w:color="auto" w:fill="FFFFFF"/>
          </w:tcPr>
          <w:p>
            <w:r>
              <w:rPr>
                <w:sz w:val="20"/>
              </w:rPr>
              <w:t>SIEM integration, UEBA, automated response</w:t>
            </w:r>
          </w:p>
        </w:tc>
        <w:tc>
          <w:tcPr>
            <w:tcW w:type="dxa" w:w="2232"/>
            <w:shd w:val="clear" w:color="auto" w:fill="FFFFFF"/>
          </w:tcPr>
          <w:p>
            <w:r>
              <w:rPr>
                <w:sz w:val="20"/>
              </w:rPr>
              <w:t>Mean time to detect &lt; 30 min</w:t>
            </w:r>
          </w:p>
        </w:tc>
      </w:tr>
    </w:tbl>
    <w:p/>
    <w:p>
      <w:pPr>
        <w:spacing w:before="40" w:after="40"/>
        <w:pBdr>
          <w:bottom w:val="single" w:sz="6" w:space="1" w:color="CBD5E1"/>
        </w:pBdr>
      </w:pPr>
    </w:p>
    <w:p>
      <w:pPr>
        <w:spacing w:before="200" w:after="80"/>
        <w:jc w:val="left"/>
      </w:pPr>
      <w:r>
        <w:rPr>
          <w:b/>
          <w:color w:val="1E40AF"/>
          <w:sz w:val="22"/>
        </w:rPr>
        <w:t>TECHNOLOGY STACK RECOMMENDATIONS</w:t>
      </w:r>
    </w:p>
    <w:tbl>
      <w:tblPr>
        <w:tblStyle w:val="TableGrid"/>
        <w:tblW w:type="auto" w:w="0"/>
        <w:tblLook w:firstColumn="1" w:firstRow="1" w:lastColumn="0" w:lastRow="0" w:noHBand="0" w:noVBand="1" w:val="04A0"/>
      </w:tblPr>
      <w:tblGrid>
        <w:gridCol w:w="4464"/>
        <w:gridCol w:w="4464"/>
      </w:tblGrid>
      <w:tr>
        <w:tc>
          <w:tcPr>
            <w:tcW w:type="dxa" w:w="4464"/>
            <w:shd w:val="clear" w:color="auto" w:fill="F0F4FF"/>
          </w:tcPr>
          <w:p>
            <w:r>
              <w:rPr>
                <w:b/>
                <w:color w:val="1E293B"/>
                <w:sz w:val="20"/>
              </w:rPr>
              <w:t>Identity Provider</w:t>
            </w:r>
          </w:p>
        </w:tc>
        <w:tc>
          <w:tcPr>
            <w:tcW w:type="dxa" w:w="4464"/>
            <w:shd w:val="clear" w:color="auto" w:fill="FFFFFF"/>
          </w:tcPr>
          <w:p>
            <w:r>
              <w:rPr>
                <w:sz w:val="20"/>
              </w:rPr>
              <w:t>Microsoft Entra ID or Okta -- both offer Conditional Access + device compliance integration</w:t>
            </w:r>
          </w:p>
        </w:tc>
      </w:tr>
      <w:tr>
        <w:tc>
          <w:tcPr>
            <w:tcW w:type="dxa" w:w="4464"/>
            <w:shd w:val="clear" w:color="auto" w:fill="FFFFFF"/>
          </w:tcPr>
          <w:p>
            <w:r>
              <w:rPr>
                <w:b/>
                <w:color w:val="1E293B"/>
                <w:sz w:val="20"/>
              </w:rPr>
              <w:t>Endpoint Management</w:t>
            </w:r>
          </w:p>
        </w:tc>
        <w:tc>
          <w:tcPr>
            <w:tcW w:type="dxa" w:w="4464"/>
            <w:shd w:val="clear" w:color="auto" w:fill="FFFFFF"/>
          </w:tcPr>
          <w:p>
            <w:r>
              <w:rPr>
                <w:sz w:val="20"/>
              </w:rPr>
              <w:t>Microsoft Intune or Jamf Pro -- device health attestation for access decisions</w:t>
            </w:r>
          </w:p>
        </w:tc>
      </w:tr>
      <w:tr>
        <w:tc>
          <w:tcPr>
            <w:tcW w:type="dxa" w:w="4464"/>
            <w:shd w:val="clear" w:color="auto" w:fill="F0F4FF"/>
          </w:tcPr>
          <w:p>
            <w:r>
              <w:rPr>
                <w:b/>
                <w:color w:val="1E293B"/>
                <w:sz w:val="20"/>
              </w:rPr>
              <w:t>Network Access</w:t>
            </w:r>
          </w:p>
        </w:tc>
        <w:tc>
          <w:tcPr>
            <w:tcW w:type="dxa" w:w="4464"/>
            <w:shd w:val="clear" w:color="auto" w:fill="FFFFFF"/>
          </w:tcPr>
          <w:p>
            <w:r>
              <w:rPr>
                <w:sz w:val="20"/>
              </w:rPr>
              <w:t>Zscaler Private Access or Cloudflare Access -- application-layer access without VPN tunnel</w:t>
            </w:r>
          </w:p>
        </w:tc>
      </w:tr>
      <w:tr>
        <w:tc>
          <w:tcPr>
            <w:tcW w:type="dxa" w:w="4464"/>
            <w:shd w:val="clear" w:color="auto" w:fill="FFFFFF"/>
          </w:tcPr>
          <w:p>
            <w:r>
              <w:rPr>
                <w:b/>
                <w:color w:val="1E293B"/>
                <w:sz w:val="20"/>
              </w:rPr>
              <w:t>SIEM / UEBA</w:t>
            </w:r>
          </w:p>
        </w:tc>
        <w:tc>
          <w:tcPr>
            <w:tcW w:type="dxa" w:w="4464"/>
            <w:shd w:val="clear" w:color="auto" w:fill="FFFFFF"/>
          </w:tcPr>
          <w:p>
            <w:r>
              <w:rPr>
                <w:sz w:val="20"/>
              </w:rPr>
              <w:t>Microsoft Sentinel or Splunk -- correlate signals across identity, endpoint, and network</w:t>
            </w:r>
          </w:p>
        </w:tc>
      </w:tr>
      <w:tr>
        <w:tc>
          <w:tcPr>
            <w:tcW w:type="dxa" w:w="4464"/>
            <w:shd w:val="clear" w:color="auto" w:fill="F0F4FF"/>
          </w:tcPr>
          <w:p>
            <w:r>
              <w:rPr>
                <w:b/>
                <w:color w:val="1E293B"/>
                <w:sz w:val="20"/>
              </w:rPr>
              <w:t>Secrets Management</w:t>
            </w:r>
          </w:p>
        </w:tc>
        <w:tc>
          <w:tcPr>
            <w:tcW w:type="dxa" w:w="4464"/>
            <w:shd w:val="clear" w:color="auto" w:fill="FFFFFF"/>
          </w:tcPr>
          <w:p>
            <w:r>
              <w:rPr>
                <w:sz w:val="20"/>
              </w:rPr>
              <w:t>HashiCorp Vault or AWS Secrets Manager -- eliminate hardcoded credentials in applications</w:t>
            </w:r>
          </w:p>
        </w:tc>
      </w:tr>
    </w:tbl>
    <w:p/>
    <w:p>
      <w:pPr>
        <w:spacing w:before="40" w:after="40"/>
        <w:pBdr>
          <w:bottom w:val="single" w:sz="6" w:space="1" w:color="CBD5E1"/>
        </w:pBdr>
      </w:pPr>
    </w:p>
    <w:p>
      <w:pPr>
        <w:spacing w:before="200" w:after="80"/>
        <w:jc w:val="left"/>
      </w:pPr>
      <w:r>
        <w:rPr>
          <w:b/>
          <w:color w:val="1E40AF"/>
          <w:sz w:val="22"/>
        </w:rPr>
        <w:t>CONCLUSION</w:t>
      </w:r>
    </w:p>
    <w:p>
      <w:pPr>
        <w:spacing w:after="100"/>
      </w:pPr>
      <w:r>
        <w:rPr>
          <w:color w:val="1E293B"/>
          <w:sz w:val="22"/>
        </w:rPr>
        <w:t>Zero-trust is not a single product purchase but an architectural transformation. Mid-market enterprises that approach ZTNA as a phased program -- starting with identity hygiene and progressing through device trust, micro-segmentation, and continuous monitoring -- can achieve enterprise-grade security posture without enterprise-scale teams. The investment is non-trivial, but the alternative is a preventable breach costing an average of $4.88 million (IBM, 2024).</w:t>
      </w:r>
    </w:p>
    <w:p>
      <w:pPr>
        <w:spacing w:before="40" w:after="40"/>
        <w:pBdr>
          <w:bottom w:val="single" w:sz="6" w:space="1" w:color="CBD5E1"/>
        </w:pBdr>
      </w:pPr>
    </w:p>
    <w:p>
      <w:pPr>
        <w:spacing w:before="200" w:after="80"/>
        <w:jc w:val="left"/>
      </w:pPr>
      <w:r>
        <w:rPr>
          <w:b/>
          <w:color w:val="1E40AF"/>
          <w:sz w:val="22"/>
        </w:rPr>
        <w:t>REFERENCES</w:t>
      </w:r>
    </w:p>
    <w:p>
      <w:pPr>
        <w:spacing w:after="60"/>
      </w:pPr>
      <w:r>
        <w:rPr>
          <w:color w:val="1E293B"/>
          <w:sz w:val="22"/>
        </w:rPr>
        <w:t>IBM Security. Cost of a Data Breach Report 2024. IBM Corporation, 2024.</w:t>
      </w:r>
    </w:p>
    <w:p>
      <w:pPr>
        <w:spacing w:after="60"/>
      </w:pPr>
      <w:r>
        <w:rPr>
          <w:color w:val="1E293B"/>
          <w:sz w:val="22"/>
        </w:rPr>
        <w:t>Verizon. 2025 Data Breach Investigations Report. Verizon Communications, 2025.</w:t>
      </w:r>
    </w:p>
    <w:p>
      <w:pPr>
        <w:spacing w:after="60"/>
      </w:pPr>
      <w:r>
        <w:rPr>
          <w:color w:val="1E293B"/>
          <w:sz w:val="22"/>
        </w:rPr>
        <w:t>Forrester Research. The Zero Trust Advantage. Forrester Research Inc., 2025.</w:t>
      </w:r>
    </w:p>
    <w:p>
      <w:pPr>
        <w:spacing w:after="60"/>
      </w:pPr>
      <w:r>
        <w:rPr>
          <w:color w:val="1E293B"/>
          <w:sz w:val="22"/>
        </w:rPr>
        <w:t>NIST. SP 800-207: Zero Trust Architecture. NIST, 2020.</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E293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