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64748B"/>
          <w:sz w:val="22"/>
        </w:rPr>
        <w:t>POLICY WHITE PAPER</w:t>
      </w:r>
    </w:p>
    <w:p>
      <w:pPr>
        <w:spacing w:before="40" w:after="120"/>
        <w:jc w:val="center"/>
      </w:pPr>
      <w:r>
        <w:rPr>
          <w:b/>
          <w:color w:val="1E40AF"/>
          <w:sz w:val="34"/>
        </w:rPr>
        <w:t>Strengthening Municipal Broadband Infrastructure:</w:t>
        <w:br/>
        <w:t>A Policy Framework for Closing the Urban-Rural Digital Divide</w:t>
      </w:r>
    </w:p>
    <w:p>
      <w:pPr>
        <w:spacing w:before="0" w:after="320"/>
        <w:jc w:val="center"/>
      </w:pPr>
      <w:r>
        <w:rPr>
          <w:b w:val="0"/>
          <w:color w:val="64748B"/>
          <w:sz w:val="20"/>
        </w:rPr>
        <w:t>Prepared for the National Telecommunications Policy Advisory Committee  |  April 2026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EXECUTIVE SUMMARY</w:t>
      </w:r>
    </w:p>
    <w:p>
      <w:pPr>
        <w:spacing w:after="100"/>
      </w:pPr>
      <w:r>
        <w:rPr>
          <w:color w:val="1E293B"/>
          <w:sz w:val="22"/>
        </w:rPr>
        <w:t>Reliable high-speed broadband access is foundational infrastructure for economic participation, healthcare delivery, and civic engagement in the twenty-first century. Despite $65 billion in federal investment through the Infrastructure Investment and Jobs Act, significant coverage gaps persist in rural and peri-urban communities. This paper analyzes three policy models and recommends a hybrid framework that prioritizes local ownership, interoperability standards, and sustained funding mechanisms.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BACKGROUND AND CONTEXT</w:t>
      </w:r>
    </w:p>
    <w:p>
      <w:pPr>
        <w:spacing w:after="100"/>
      </w:pPr>
      <w:r>
        <w:rPr>
          <w:color w:val="1E293B"/>
          <w:sz w:val="22"/>
        </w:rPr>
        <w:t>According to the FCC's 2025 Broadband Data Collection, 14.5 million Americans lack access to broadband service meeting the 25/3 Mbps benchmark. Community-level surveys consistently identify gaps 1.5 to 3 times larger than official figures suggest.</w:t>
      </w:r>
    </w:p>
    <w:p>
      <w:pPr>
        <w:spacing w:after="100"/>
      </w:pPr>
      <w:r>
        <w:rPr>
          <w:color w:val="1E293B"/>
          <w:sz w:val="22"/>
        </w:rPr>
        <w:t>The consequences are measurable: rural residents without broadband access earn 17% less income over a decade than connected peers (Brookings, 2024); telehealth utilization rates in unconnected communities are 61% lower; and remote education completion rates fell disproportionately in offline communities during the pandemic.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POLICY MODELS UNDER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Model</w:t>
            </w:r>
          </w:p>
        </w:tc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Ownership</w:t>
            </w:r>
          </w:p>
        </w:tc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Avg. Cost/Home</w:t>
            </w:r>
          </w:p>
        </w:tc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Key Risk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Municipal broadband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Government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$1,200-$2,800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Capital financing; incumbent litigation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Subsidized private (open access)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Private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$800-$1,800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Subsidy recapture; long-term maintenance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Electric cooperative broadband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Member-owned co-op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$1,400-$3,200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Balance sheet capacity; expertise gap</w:t>
            </w:r>
          </w:p>
        </w:tc>
      </w:tr>
    </w:tbl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RECOMMENDED POLICY FRAMEWORK</w:t>
      </w:r>
    </w:p>
    <w:p>
      <w:pPr>
        <w:pStyle w:val="ListBullet"/>
        <w:spacing w:after="60"/>
      </w:pPr>
      <w:r>
        <w:rPr>
          <w:color w:val="1E293B"/>
          <w:sz w:val="22"/>
        </w:rPr>
        <w:t>Dense suburban/peri-urban gaps: Prioritize open-access subsidized private investment with mandatory wholesale access pricing, preventing re-monopolization.</w:t>
      </w:r>
    </w:p>
    <w:p>
      <w:pPr>
        <w:pStyle w:val="ListBullet"/>
        <w:spacing w:after="60"/>
      </w:pPr>
      <w:r>
        <w:rPr>
          <w:color w:val="1E293B"/>
          <w:sz w:val="22"/>
        </w:rPr>
        <w:t>Sparse rural communities (&lt; 50 homes/sq mile): Direct grant funding to electric cooperatives, which already possess right-of-way access and community trust.</w:t>
      </w:r>
    </w:p>
    <w:p>
      <w:pPr>
        <w:pStyle w:val="ListBullet"/>
        <w:spacing w:after="60"/>
      </w:pPr>
      <w:r>
        <w:rPr>
          <w:color w:val="1E293B"/>
          <w:sz w:val="22"/>
        </w:rPr>
        <w:t>Extremely remote areas: Satellite broadband subsidy programs (LEO constellations) as a transitional measure while terrestrial buildout scales.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FUNDING MECHANISMS</w:t>
      </w:r>
    </w:p>
    <w:p>
      <w:pPr>
        <w:pStyle w:val="ListBullet"/>
        <w:spacing w:after="60"/>
      </w:pPr>
      <w:r>
        <w:rPr>
          <w:color w:val="1E293B"/>
          <w:sz w:val="22"/>
        </w:rPr>
        <w:t>Permanent Broadband Connectivity Fund: $4B/year federal baseline, allocated via state broadband offices using updated FCC coverage maps.</w:t>
      </w:r>
    </w:p>
    <w:p>
      <w:pPr>
        <w:pStyle w:val="ListBullet"/>
        <w:spacing w:after="60"/>
      </w:pPr>
      <w:r>
        <w:rPr>
          <w:color w:val="1E293B"/>
          <w:sz w:val="22"/>
        </w:rPr>
        <w:t>Municipal bond financing reform: Allow broadband infrastructure to qualify for tax-exempt municipal bond issuance equivalent to water/sewer treatment facilities.</w:t>
      </w:r>
    </w:p>
    <w:p>
      <w:pPr>
        <w:pStyle w:val="ListBullet"/>
        <w:spacing w:after="60"/>
      </w:pPr>
      <w:r>
        <w:rPr>
          <w:color w:val="1E293B"/>
          <w:sz w:val="22"/>
        </w:rPr>
        <w:t>Universal Service Fund modernization: Index contribution to broadband revenue, not legacy telephone revenue, to ensure sustainable funding as voice traffic declines.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CONCLUSION</w:t>
      </w:r>
    </w:p>
    <w:p>
      <w:pPr>
        <w:spacing w:after="100"/>
      </w:pPr>
      <w:r>
        <w:rPr>
          <w:color w:val="1E293B"/>
          <w:sz w:val="22"/>
        </w:rPr>
        <w:t>Digital equity is not a technology problem -- it is a political economy problem. The technical solutions exist and are cost-effective at scale. A coherent federal-state-local partnership, built on the framework outlined here, can close the rural broadband gap within a decade at a total public cost well below the long-term economic losses of inaction.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REFERENCES</w:t>
      </w:r>
    </w:p>
    <w:p>
      <w:pPr>
        <w:spacing w:after="60"/>
      </w:pPr>
      <w:r>
        <w:rPr>
          <w:color w:val="1E293B"/>
          <w:sz w:val="22"/>
        </w:rPr>
        <w:t>Brookings Institution. The Rural Broadband Income Gap. Brookings, 2024.</w:t>
      </w:r>
    </w:p>
    <w:p>
      <w:pPr>
        <w:spacing w:after="60"/>
      </w:pPr>
      <w:r>
        <w:rPr>
          <w:color w:val="1E293B"/>
          <w:sz w:val="22"/>
        </w:rPr>
        <w:t>FCC. 2025 Broadband Data Collection Report. FCC, 2025.</w:t>
      </w:r>
    </w:p>
    <w:p>
      <w:pPr>
        <w:spacing w:after="60"/>
      </w:pPr>
      <w:r>
        <w:rPr>
          <w:color w:val="1E293B"/>
          <w:sz w:val="22"/>
        </w:rPr>
        <w:t>NTIA. BEAD Program Implementation Guidance. NTIA, 2025.</w:t>
      </w:r>
    </w:p>
    <w:p>
      <w:pPr>
        <w:spacing w:after="60"/>
      </w:pPr>
      <w:r>
        <w:rPr>
          <w:color w:val="1E293B"/>
          <w:sz w:val="22"/>
        </w:rPr>
        <w:t>ILSR. Community Broadband Networks Scorecard 2025. ILSR, 2025.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