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0" w:after="40"/>
        <w:jc w:val="center"/>
      </w:pPr>
      <w:r>
        <w:rPr>
          <w:b/>
          <w:color w:val="64748B"/>
          <w:sz w:val="22"/>
        </w:rPr>
        <w:t>ACADEMIC WHITE PAPER</w:t>
      </w:r>
    </w:p>
    <w:p>
      <w:pPr>
        <w:spacing w:before="40" w:after="120"/>
        <w:jc w:val="center"/>
      </w:pPr>
      <w:r>
        <w:rPr>
          <w:b/>
          <w:color w:val="1E40AF"/>
          <w:sz w:val="34"/>
        </w:rPr>
        <w:t>Cognitive Load and Multimodal Learning:</w:t>
        <w:br/>
        <w:t>Implications for Instructional Design in Hybrid Higher Education</w:t>
      </w:r>
    </w:p>
    <w:p>
      <w:pPr>
        <w:spacing w:before="0" w:after="320"/>
        <w:jc w:val="center"/>
      </w:pPr>
      <w:r>
        <w:rPr>
          <w:b w:val="0"/>
          <w:color w:val="64748B"/>
          <w:sz w:val="20"/>
        </w:rPr>
        <w:t>Department of Educational Psychology, Westfield University  |  Working Paper WP-2026-14</w:t>
      </w:r>
    </w:p>
    <w:p>
      <w:pPr>
        <w:spacing w:before="40" w:after="40"/>
        <w:pBdr>
          <w:bottom w:val="single" w:sz="6" w:space="1" w:color="CBD5E1"/>
        </w:pBdr>
      </w:pPr>
    </w:p>
    <w:p>
      <w:pPr>
        <w:spacing w:before="200" w:after="80"/>
        <w:jc w:val="left"/>
      </w:pPr>
      <w:r>
        <w:rPr>
          <w:b/>
          <w:color w:val="1E40AF"/>
          <w:sz w:val="22"/>
        </w:rPr>
        <w:t>ABSTRACT</w:t>
      </w:r>
    </w:p>
    <w:p>
      <w:pPr>
        <w:spacing w:after="100"/>
      </w:pPr>
      <w:r>
        <w:rPr>
          <w:color w:val="1E293B"/>
          <w:sz w:val="22"/>
        </w:rPr>
        <w:t>This paper reviews empirical evidence on cognitive load theory (CLT) and its application to multimodal instructional design in hybrid higher education contexts. Drawing on a systematic review of 68 peer-reviewed studies published 2018-2025, we identify three design principles -- segmentation, modality alignment, and redundancy reduction -- that consistently reduce extraneous cognitive load and improve transfer performance. A conceptual framework for minimal-load multimodal instruction (MLMI) is proposed for further empirical testing.</w:t>
      </w:r>
    </w:p>
    <w:p>
      <w:pPr>
        <w:spacing w:before="40" w:after="40"/>
        <w:pBdr>
          <w:bottom w:val="single" w:sz="6" w:space="1" w:color="CBD5E1"/>
        </w:pBdr>
      </w:pPr>
    </w:p>
    <w:p>
      <w:pPr>
        <w:spacing w:before="200" w:after="80"/>
        <w:jc w:val="left"/>
      </w:pPr>
      <w:r>
        <w:rPr>
          <w:b/>
          <w:color w:val="1E40AF"/>
          <w:sz w:val="22"/>
        </w:rPr>
        <w:t>INTRODUCTION</w:t>
      </w:r>
    </w:p>
    <w:p>
      <w:pPr>
        <w:spacing w:after="100"/>
      </w:pPr>
      <w:r>
        <w:rPr>
          <w:color w:val="1E293B"/>
          <w:sz w:val="22"/>
        </w:rPr>
        <w:t>The rapid expansion of hybrid and online instruction following the COVID-19 pandemic placed instructional design at the center of educational policy debates. Yet the majority of hybrid course conversions were undertaken rapidly, often without applying established principles from cognitive science, resulting in inconsistent learning outcomes.</w:t>
      </w:r>
    </w:p>
    <w:p>
      <w:pPr>
        <w:spacing w:after="100"/>
      </w:pPr>
      <w:r>
        <w:rPr>
          <w:color w:val="1E293B"/>
          <w:sz w:val="22"/>
        </w:rPr>
        <w:t>Cognitive load theory, originally articulated by Sweller (1988), holds that human working memory is severely limited in capacity, and that instructional designs which exceed this capacity impair learning regardless of content quality.</w:t>
      </w:r>
    </w:p>
    <w:p>
      <w:pPr>
        <w:spacing w:before="40" w:after="40"/>
        <w:pBdr>
          <w:bottom w:val="single" w:sz="6" w:space="1" w:color="CBD5E1"/>
        </w:pBdr>
      </w:pPr>
    </w:p>
    <w:p>
      <w:pPr>
        <w:spacing w:before="200" w:after="80"/>
        <w:jc w:val="left"/>
      </w:pPr>
      <w:r>
        <w:rPr>
          <w:b/>
          <w:color w:val="1E40AF"/>
          <w:sz w:val="22"/>
        </w:rPr>
        <w:t>THEORETICAL FRAMEWORK: COGNITIVE LOAD THEORY</w:t>
      </w:r>
    </w:p>
    <w:p>
      <w:pPr>
        <w:pStyle w:val="ListBullet"/>
        <w:spacing w:after="60"/>
      </w:pPr>
      <w:r>
        <w:rPr>
          <w:color w:val="1E293B"/>
          <w:sz w:val="22"/>
        </w:rPr>
        <w:t>Intrinsic load: The inherent complexity of the material -- determined by the number of interacting elements students must hold in working memory simultaneously. Reduced via sequencing and scaffolding.</w:t>
      </w:r>
    </w:p>
    <w:p>
      <w:pPr>
        <w:pStyle w:val="ListBullet"/>
        <w:spacing w:after="60"/>
      </w:pPr>
      <w:r>
        <w:rPr>
          <w:color w:val="1E293B"/>
          <w:sz w:val="22"/>
        </w:rPr>
        <w:t>Extraneous load: Load imposed by poor instructional design -- unnecessary complexity that consumes working memory without aiding learning. Reduced via good design.</w:t>
      </w:r>
    </w:p>
    <w:p>
      <w:pPr>
        <w:pStyle w:val="ListBullet"/>
        <w:spacing w:after="60"/>
      </w:pPr>
      <w:r>
        <w:rPr>
          <w:color w:val="1E293B"/>
          <w:sz w:val="22"/>
        </w:rPr>
        <w:t>Germane load: Cognitive effort dedicated to schema formation and automation -- the productive work of learning. Increased when intrinsic and extraneous load are managed effectively.</w:t>
      </w:r>
    </w:p>
    <w:p/>
    <w:p>
      <w:pPr>
        <w:spacing w:before="40" w:after="40"/>
        <w:pBdr>
          <w:bottom w:val="single" w:sz="6" w:space="1" w:color="CBD5E1"/>
        </w:pBdr>
      </w:pPr>
    </w:p>
    <w:p>
      <w:pPr>
        <w:spacing w:before="200" w:after="80"/>
        <w:jc w:val="left"/>
      </w:pPr>
      <w:r>
        <w:rPr>
          <w:b/>
          <w:color w:val="1E40AF"/>
          <w:sz w:val="22"/>
        </w:rPr>
        <w:t>METHODOLOGY</w:t>
      </w:r>
    </w:p>
    <w:p>
      <w:pPr>
        <w:spacing w:after="100"/>
      </w:pPr>
      <w:r>
        <w:rPr>
          <w:color w:val="1E293B"/>
          <w:sz w:val="22"/>
        </w:rPr>
        <w:t>A systematic review was conducted following PRISMA guidelines. Search terms included cognitive load, multimodal learning, hybrid instruction, and instructional design in ERIC, PsycINFO, and Web of Science databases. Inclusion criteria: peer-reviewed empirical studies, higher education contexts, published 2018-2025, English language.</w:t>
      </w:r>
    </w:p>
    <w:tbl>
      <w:tblPr>
        <w:tblStyle w:val="TableGrid"/>
        <w:tblW w:type="auto" w:w="0"/>
        <w:tblLook w:firstColumn="1" w:firstRow="1" w:lastColumn="0" w:lastRow="0" w:noHBand="0" w:noVBand="1" w:val="04A0"/>
      </w:tblPr>
      <w:tblGrid>
        <w:gridCol w:w="2976"/>
        <w:gridCol w:w="2976"/>
        <w:gridCol w:w="2976"/>
      </w:tblGrid>
      <w:tr>
        <w:tc>
          <w:tcPr>
            <w:tcW w:type="dxa" w:w="2976"/>
            <w:shd w:val="clear" w:color="auto" w:fill="1E40AF"/>
          </w:tcPr>
          <w:p>
            <w:r>
              <w:rPr>
                <w:b/>
                <w:color w:val="FFFFFF"/>
                <w:sz w:val="20"/>
              </w:rPr>
              <w:t>Stage</w:t>
            </w:r>
          </w:p>
        </w:tc>
        <w:tc>
          <w:tcPr>
            <w:tcW w:type="dxa" w:w="2976"/>
            <w:shd w:val="clear" w:color="auto" w:fill="1E40AF"/>
          </w:tcPr>
          <w:p>
            <w:r>
              <w:rPr>
                <w:b/>
                <w:color w:val="FFFFFF"/>
                <w:sz w:val="20"/>
              </w:rPr>
              <w:t>Records</w:t>
            </w:r>
          </w:p>
        </w:tc>
        <w:tc>
          <w:tcPr>
            <w:tcW w:type="dxa" w:w="2976"/>
            <w:shd w:val="clear" w:color="auto" w:fill="1E40AF"/>
          </w:tcPr>
          <w:p>
            <w:r>
              <w:rPr>
                <w:b/>
                <w:color w:val="FFFFFF"/>
                <w:sz w:val="20"/>
              </w:rPr>
              <w:t>Notes</w:t>
            </w:r>
          </w:p>
        </w:tc>
      </w:tr>
      <w:tr>
        <w:tc>
          <w:tcPr>
            <w:tcW w:type="dxa" w:w="2976"/>
            <w:shd w:val="clear" w:color="auto" w:fill="F0F4FF"/>
          </w:tcPr>
          <w:p>
            <w:r>
              <w:rPr>
                <w:sz w:val="20"/>
              </w:rPr>
              <w:t>Initial database search</w:t>
            </w:r>
          </w:p>
        </w:tc>
        <w:tc>
          <w:tcPr>
            <w:tcW w:type="dxa" w:w="2976"/>
            <w:shd w:val="clear" w:color="auto" w:fill="F0F4FF"/>
          </w:tcPr>
          <w:p>
            <w:r>
              <w:rPr>
                <w:sz w:val="20"/>
              </w:rPr>
              <w:t>847</w:t>
            </w:r>
          </w:p>
        </w:tc>
        <w:tc>
          <w:tcPr>
            <w:tcW w:type="dxa" w:w="2976"/>
            <w:shd w:val="clear" w:color="auto" w:fill="F0F4FF"/>
          </w:tcPr>
          <w:p>
            <w:r>
              <w:rPr>
                <w:sz w:val="20"/>
              </w:rPr>
              <w:t>Duplicates removed</w:t>
            </w:r>
          </w:p>
        </w:tc>
      </w:tr>
      <w:tr>
        <w:tc>
          <w:tcPr>
            <w:tcW w:type="dxa" w:w="2976"/>
            <w:shd w:val="clear" w:color="auto" w:fill="FFFFFF"/>
          </w:tcPr>
          <w:p>
            <w:r>
              <w:rPr>
                <w:sz w:val="20"/>
              </w:rPr>
              <w:t>Title and abstract screening</w:t>
            </w:r>
          </w:p>
        </w:tc>
        <w:tc>
          <w:tcPr>
            <w:tcW w:type="dxa" w:w="2976"/>
            <w:shd w:val="clear" w:color="auto" w:fill="FFFFFF"/>
          </w:tcPr>
          <w:p>
            <w:r>
              <w:rPr>
                <w:sz w:val="20"/>
              </w:rPr>
              <w:t>312</w:t>
            </w:r>
          </w:p>
        </w:tc>
        <w:tc>
          <w:tcPr>
            <w:tcW w:type="dxa" w:w="2976"/>
            <w:shd w:val="clear" w:color="auto" w:fill="FFFFFF"/>
          </w:tcPr>
          <w:p>
            <w:r>
              <w:rPr>
                <w:sz w:val="20"/>
              </w:rPr>
              <w:t>Excluded non-empirical and K-12 only</w:t>
            </w:r>
          </w:p>
        </w:tc>
      </w:tr>
      <w:tr>
        <w:tc>
          <w:tcPr>
            <w:tcW w:type="dxa" w:w="2976"/>
            <w:shd w:val="clear" w:color="auto" w:fill="F0F4FF"/>
          </w:tcPr>
          <w:p>
            <w:r>
              <w:rPr>
                <w:sz w:val="20"/>
              </w:rPr>
              <w:t>Full-text review</w:t>
            </w:r>
          </w:p>
        </w:tc>
        <w:tc>
          <w:tcPr>
            <w:tcW w:type="dxa" w:w="2976"/>
            <w:shd w:val="clear" w:color="auto" w:fill="F0F4FF"/>
          </w:tcPr>
          <w:p>
            <w:r>
              <w:rPr>
                <w:sz w:val="20"/>
              </w:rPr>
              <w:t>104</w:t>
            </w:r>
          </w:p>
        </w:tc>
        <w:tc>
          <w:tcPr>
            <w:tcW w:type="dxa" w:w="2976"/>
            <w:shd w:val="clear" w:color="auto" w:fill="F0F4FF"/>
          </w:tcPr>
          <w:p>
            <w:r>
              <w:rPr>
                <w:sz w:val="20"/>
              </w:rPr>
              <w:t>Applied inclusion criteria rigorously</w:t>
            </w:r>
          </w:p>
        </w:tc>
      </w:tr>
      <w:tr>
        <w:tc>
          <w:tcPr>
            <w:tcW w:type="dxa" w:w="2976"/>
            <w:shd w:val="clear" w:color="auto" w:fill="FFFFFF"/>
          </w:tcPr>
          <w:p>
            <w:r>
              <w:rPr>
                <w:sz w:val="20"/>
              </w:rPr>
              <w:t>Final included studies</w:t>
            </w:r>
          </w:p>
        </w:tc>
        <w:tc>
          <w:tcPr>
            <w:tcW w:type="dxa" w:w="2976"/>
            <w:shd w:val="clear" w:color="auto" w:fill="FFFFFF"/>
          </w:tcPr>
          <w:p>
            <w:r>
              <w:rPr>
                <w:sz w:val="20"/>
              </w:rPr>
              <w:t>68</w:t>
            </w:r>
          </w:p>
        </w:tc>
        <w:tc>
          <w:tcPr>
            <w:tcW w:type="dxa" w:w="2976"/>
            <w:shd w:val="clear" w:color="auto" w:fill="FFFFFF"/>
          </w:tcPr>
          <w:p>
            <w:r>
              <w:rPr>
                <w:sz w:val="20"/>
              </w:rPr>
              <w:t>Across 14 disciplines, 22 countries</w:t>
            </w:r>
          </w:p>
        </w:tc>
      </w:tr>
    </w:tbl>
    <w:p/>
    <w:p>
      <w:pPr>
        <w:spacing w:before="40" w:after="40"/>
        <w:pBdr>
          <w:bottom w:val="single" w:sz="6" w:space="1" w:color="CBD5E1"/>
        </w:pBdr>
      </w:pPr>
    </w:p>
    <w:p>
      <w:pPr>
        <w:spacing w:before="200" w:after="80"/>
        <w:jc w:val="left"/>
      </w:pPr>
      <w:r>
        <w:rPr>
          <w:b/>
          <w:color w:val="1E40AF"/>
          <w:sz w:val="22"/>
        </w:rPr>
        <w:t>KEY FINDINGS</w:t>
      </w:r>
    </w:p>
    <w:p>
      <w:pPr>
        <w:pStyle w:val="ListBullet"/>
        <w:spacing w:after="60"/>
      </w:pPr>
      <w:r>
        <w:rPr>
          <w:color w:val="1E293B"/>
          <w:sz w:val="22"/>
        </w:rPr>
        <w:t>Segmentation (supported in 71% of studies): Breaking continuous content into learner-paced segments reduces extraneous load. Average effect size d=0.54 on retention tests.</w:t>
      </w:r>
    </w:p>
    <w:p>
      <w:pPr>
        <w:pStyle w:val="ListBullet"/>
        <w:spacing w:after="60"/>
      </w:pPr>
      <w:r>
        <w:rPr>
          <w:color w:val="1E293B"/>
          <w:sz w:val="22"/>
        </w:rPr>
        <w:t>Modality alignment (supported in 67% of studies): Pairing narrated audio with complementary visuals outperforms text+visual. Average d=0.47 on transfer tasks.</w:t>
      </w:r>
    </w:p>
    <w:p>
      <w:pPr>
        <w:pStyle w:val="ListBullet"/>
        <w:spacing w:after="60"/>
      </w:pPr>
      <w:r>
        <w:rPr>
          <w:color w:val="1E293B"/>
          <w:sz w:val="22"/>
        </w:rPr>
        <w:t>Redundancy reduction (supported in 58% of studies): Removing on-screen text that duplicates narration improves performance for novice learners. Effect diminishes for experts (expertise reversal effect).</w:t>
      </w:r>
    </w:p>
    <w:p/>
    <w:p>
      <w:pPr>
        <w:spacing w:before="40" w:after="40"/>
        <w:pBdr>
          <w:bottom w:val="single" w:sz="6" w:space="1" w:color="CBD5E1"/>
        </w:pBdr>
      </w:pPr>
    </w:p>
    <w:p>
      <w:pPr>
        <w:spacing w:before="200" w:after="80"/>
        <w:jc w:val="left"/>
      </w:pPr>
      <w:r>
        <w:rPr>
          <w:b/>
          <w:color w:val="1E40AF"/>
          <w:sz w:val="22"/>
        </w:rPr>
        <w:t>PROPOSED FRAMEWORK: MLMI</w:t>
      </w:r>
    </w:p>
    <w:p>
      <w:pPr>
        <w:spacing w:after="100"/>
      </w:pPr>
      <w:r>
        <w:rPr>
          <w:color w:val="1E293B"/>
          <w:sz w:val="22"/>
        </w:rPr>
        <w:t>The Minimal-Load Multimodal Instruction (MLMI) framework integrates the three evidence-based principles into a practical design rubric applicable to hybrid course development teams. The framework operates at three levels: content chunking, media selection, and learner control.</w:t>
      </w:r>
    </w:p>
    <w:p>
      <w:pPr>
        <w:spacing w:before="40" w:after="40"/>
        <w:pBdr>
          <w:bottom w:val="single" w:sz="6" w:space="1" w:color="CBD5E1"/>
        </w:pBdr>
      </w:pPr>
    </w:p>
    <w:p>
      <w:pPr>
        <w:spacing w:before="200" w:after="80"/>
        <w:jc w:val="left"/>
      </w:pPr>
      <w:r>
        <w:rPr>
          <w:b/>
          <w:color w:val="1E40AF"/>
          <w:sz w:val="22"/>
        </w:rPr>
        <w:t>REFERENCES</w:t>
      </w:r>
    </w:p>
    <w:p>
      <w:pPr>
        <w:spacing w:after="60"/>
      </w:pPr>
      <w:r>
        <w:rPr>
          <w:color w:val="1E293B"/>
          <w:sz w:val="22"/>
        </w:rPr>
        <w:t>Mayer, R. E. (2009). Multimedia learning (2nd ed.). Cambridge University Press.</w:t>
      </w:r>
    </w:p>
    <w:p>
      <w:pPr>
        <w:spacing w:after="60"/>
      </w:pPr>
      <w:r>
        <w:rPr>
          <w:color w:val="1E293B"/>
          <w:sz w:val="22"/>
        </w:rPr>
        <w:t>Sweller, J. (1988). Cognitive load during problem solving: Effects on learning. Cognitive Science, 12(2), 257-285.</w:t>
      </w:r>
    </w:p>
    <w:p>
      <w:pPr>
        <w:spacing w:after="60"/>
      </w:pPr>
      <w:r>
        <w:rPr>
          <w:color w:val="1E293B"/>
          <w:sz w:val="22"/>
        </w:rPr>
        <w:t>van Merrienboer, J. J. G., &amp; Sweller, J. (2010). Cognitive load theory in health professional education. Medical Education, 44(1), 85-93.</w:t>
      </w:r>
    </w:p>
    <w:sectPr w:rsidR="00FC693F" w:rsidRPr="0006063C" w:rsidSect="00034616">
      <w:pgSz w:w="12240" w:h="15840"/>
      <w:pgMar w:top="1440" w:right="1656" w:bottom="1440" w:left="165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color w:val="1E293B"/>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