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WRITING PORTFOLIO</w:t>
      </w:r>
    </w:p>
    <w:p>
      <w:pPr>
        <w:spacing w:before="40" w:after="80"/>
        <w:jc w:val="center"/>
      </w:pPr>
      <w:r>
        <w:rPr>
          <w:b/>
          <w:color w:val="1E40AF"/>
          <w:sz w:val="40"/>
        </w:rPr>
        <w:t>Jordan Rivera</w:t>
        <w:br/>
        <w:t>Content Strategist &amp; Journalist</w:t>
      </w:r>
    </w:p>
    <w:p>
      <w:pPr>
        <w:spacing w:before="0" w:after="320"/>
        <w:jc w:val="center"/>
      </w:pPr>
      <w:r>
        <w:rPr>
          <w:b w:val="0"/>
          <w:color w:val="64748B"/>
          <w:sz w:val="20"/>
        </w:rPr>
        <w:t>jordan.rivera.writes@email.com  |  linkedin.com/in/jordanrivera  |  jordanriverawrites.com</w:t>
      </w:r>
    </w:p>
    <w:p>
      <w:pPr>
        <w:spacing w:before="40" w:after="40"/>
        <w:pBdr>
          <w:bottom w:val="single" w:sz="6" w:space="1" w:color="CBD5E1"/>
        </w:pBdr>
      </w:pPr>
    </w:p>
    <w:p>
      <w:pPr>
        <w:spacing w:before="200" w:after="80"/>
        <w:jc w:val="left"/>
      </w:pPr>
      <w:r>
        <w:rPr>
          <w:b/>
          <w:color w:val="1E40AF"/>
          <w:sz w:val="22"/>
        </w:rPr>
        <w:t>ABOUT</w:t>
      </w:r>
    </w:p>
    <w:p>
      <w:pPr>
        <w:spacing w:after="100"/>
      </w:pPr>
      <w:r>
        <w:rPr>
          <w:color w:val="1E293B"/>
          <w:sz w:val="22"/>
        </w:rPr>
        <w:t>I am a content strategist and journalist with nine years of experience writing about technology, business, and social policy. My work has appeared in The Atlantic, Fast Company, MIT Technology Review, and Wired. In brand journalism and content strategy roles, I have led editorial teams that built content programs driving millions in qualified pipeline for B2B technology companies.</w:t>
      </w:r>
    </w:p>
    <w:p>
      <w:pPr>
        <w:spacing w:before="40" w:after="40"/>
        <w:pBdr>
          <w:bottom w:val="single" w:sz="6" w:space="1" w:color="CBD5E1"/>
        </w:pBdr>
      </w:pPr>
    </w:p>
    <w:p>
      <w:pPr>
        <w:spacing w:before="200" w:after="80"/>
        <w:jc w:val="left"/>
      </w:pPr>
      <w:r>
        <w:rPr>
          <w:b/>
          <w:color w:val="1E40AF"/>
          <w:sz w:val="22"/>
        </w:rPr>
        <w:t>EXPERTISE AREAS</w:t>
      </w:r>
    </w:p>
    <w:p>
      <w:pPr>
        <w:pStyle w:val="ListBullet"/>
        <w:spacing w:after="60"/>
      </w:pPr>
      <w:r>
        <w:rPr>
          <w:color w:val="1E293B"/>
          <w:sz w:val="22"/>
        </w:rPr>
        <w:t>Long-form journalism and narrative features (1,500-8,000 words)</w:t>
      </w:r>
    </w:p>
    <w:p>
      <w:pPr>
        <w:pStyle w:val="ListBullet"/>
        <w:spacing w:after="60"/>
      </w:pPr>
      <w:r>
        <w:rPr>
          <w:color w:val="1E293B"/>
          <w:sz w:val="22"/>
        </w:rPr>
        <w:t>B2B content strategy: editorial calendars, thought leadership programs, buyer-journey mapping</w:t>
      </w:r>
    </w:p>
    <w:p>
      <w:pPr>
        <w:pStyle w:val="ListBullet"/>
        <w:spacing w:after="60"/>
      </w:pPr>
      <w:r>
        <w:rPr>
          <w:color w:val="1E293B"/>
          <w:sz w:val="22"/>
        </w:rPr>
        <w:t>SEO content: keyword research, cluster strategy, content briefs, on-page optimization</w:t>
      </w:r>
    </w:p>
    <w:p>
      <w:pPr>
        <w:pStyle w:val="ListBullet"/>
        <w:spacing w:after="60"/>
      </w:pPr>
      <w:r>
        <w:rPr>
          <w:color w:val="1E293B"/>
          <w:sz w:val="22"/>
        </w:rPr>
        <w:t>Ghostwriting and executive content (LinkedIn, newsletters, keynote scripts)</w:t>
      </w:r>
    </w:p>
    <w:p>
      <w:pPr>
        <w:pStyle w:val="ListBullet"/>
        <w:spacing w:after="60"/>
      </w:pPr>
      <w:r>
        <w:rPr>
          <w:color w:val="1E293B"/>
          <w:sz w:val="22"/>
        </w:rPr>
        <w:t>Investigative research: data analysis, FOIA requests, expert source development</w:t>
      </w:r>
    </w:p>
    <w:p/>
    <w:p>
      <w:pPr>
        <w:spacing w:before="40" w:after="40"/>
        <w:pBdr>
          <w:bottom w:val="single" w:sz="6" w:space="1" w:color="CBD5E1"/>
        </w:pBdr>
      </w:pPr>
    </w:p>
    <w:p>
      <w:pPr>
        <w:spacing w:before="200" w:after="80"/>
        <w:jc w:val="left"/>
      </w:pPr>
      <w:r>
        <w:rPr>
          <w:b/>
          <w:color w:val="1E40AF"/>
          <w:sz w:val="22"/>
        </w:rPr>
        <w:t>SELECTED PUBLISHED WORK</w:t>
      </w:r>
    </w:p>
    <w:p>
      <w:pPr>
        <w:spacing w:before="160" w:after="40"/>
        <w:jc w:val="left"/>
      </w:pPr>
      <w:r>
        <w:rPr>
          <w:b/>
          <w:color w:val="475569"/>
          <w:sz w:val="24"/>
        </w:rPr>
        <w:t>Feature Journalism</w:t>
      </w:r>
    </w:p>
    <w:tbl>
      <w:tblPr>
        <w:tblStyle w:val="TableGrid"/>
        <w:tblW w:type="auto" w:w="0"/>
        <w:tblLook w:firstColumn="1" w:firstRow="1" w:lastColumn="0" w:lastRow="0" w:noHBand="0" w:noVBand="1" w:val="04A0"/>
      </w:tblPr>
      <w:tblGrid>
        <w:gridCol w:w="2232"/>
        <w:gridCol w:w="2232"/>
        <w:gridCol w:w="2232"/>
        <w:gridCol w:w="2232"/>
      </w:tblGrid>
      <w:tr>
        <w:tc>
          <w:tcPr>
            <w:tcW w:type="dxa" w:w="2232"/>
            <w:shd w:val="clear" w:color="auto" w:fill="1E40AF"/>
          </w:tcPr>
          <w:p>
            <w:r>
              <w:rPr>
                <w:b/>
                <w:color w:val="FFFFFF"/>
                <w:sz w:val="20"/>
              </w:rPr>
              <w:t>Title</w:t>
            </w:r>
          </w:p>
        </w:tc>
        <w:tc>
          <w:tcPr>
            <w:tcW w:type="dxa" w:w="2232"/>
            <w:shd w:val="clear" w:color="auto" w:fill="1E40AF"/>
          </w:tcPr>
          <w:p>
            <w:r>
              <w:rPr>
                <w:b/>
                <w:color w:val="FFFFFF"/>
                <w:sz w:val="20"/>
              </w:rPr>
              <w:t>Publication</w:t>
            </w:r>
          </w:p>
        </w:tc>
        <w:tc>
          <w:tcPr>
            <w:tcW w:type="dxa" w:w="2232"/>
            <w:shd w:val="clear" w:color="auto" w:fill="1E40AF"/>
          </w:tcPr>
          <w:p>
            <w:r>
              <w:rPr>
                <w:b/>
                <w:color w:val="FFFFFF"/>
                <w:sz w:val="20"/>
              </w:rPr>
              <w:t>Date</w:t>
            </w:r>
          </w:p>
        </w:tc>
        <w:tc>
          <w:tcPr>
            <w:tcW w:type="dxa" w:w="2232"/>
            <w:shd w:val="clear" w:color="auto" w:fill="1E40AF"/>
          </w:tcPr>
          <w:p>
            <w:r>
              <w:rPr>
                <w:b/>
                <w:color w:val="FFFFFF"/>
                <w:sz w:val="20"/>
              </w:rPr>
              <w:t>Notes</w:t>
            </w:r>
          </w:p>
        </w:tc>
      </w:tr>
      <w:tr>
        <w:tc>
          <w:tcPr>
            <w:tcW w:type="dxa" w:w="2232"/>
            <w:shd w:val="clear" w:color="auto" w:fill="F0F4FF"/>
          </w:tcPr>
          <w:p>
            <w:r>
              <w:rPr>
                <w:sz w:val="20"/>
              </w:rPr>
              <w:t>The Algorithm That Decides Who Gets a Job</w:t>
            </w:r>
          </w:p>
        </w:tc>
        <w:tc>
          <w:tcPr>
            <w:tcW w:type="dxa" w:w="2232"/>
            <w:shd w:val="clear" w:color="auto" w:fill="F0F4FF"/>
          </w:tcPr>
          <w:p>
            <w:r>
              <w:rPr>
                <w:sz w:val="20"/>
              </w:rPr>
              <w:t>The Atlantic</w:t>
            </w:r>
          </w:p>
        </w:tc>
        <w:tc>
          <w:tcPr>
            <w:tcW w:type="dxa" w:w="2232"/>
            <w:shd w:val="clear" w:color="auto" w:fill="F0F4FF"/>
          </w:tcPr>
          <w:p>
            <w:r>
              <w:rPr>
                <w:sz w:val="20"/>
              </w:rPr>
              <w:t>Nov 2025</w:t>
            </w:r>
          </w:p>
        </w:tc>
        <w:tc>
          <w:tcPr>
            <w:tcW w:type="dxa" w:w="2232"/>
            <w:shd w:val="clear" w:color="auto" w:fill="F0F4FF"/>
          </w:tcPr>
          <w:p>
            <w:r>
              <w:rPr>
                <w:sz w:val="20"/>
              </w:rPr>
              <w:t>6,200 words; 180K+ reads; cited in Senate hearing</w:t>
            </w:r>
          </w:p>
        </w:tc>
      </w:tr>
      <w:tr>
        <w:tc>
          <w:tcPr>
            <w:tcW w:type="dxa" w:w="2232"/>
            <w:shd w:val="clear" w:color="auto" w:fill="FFFFFF"/>
          </w:tcPr>
          <w:p>
            <w:r>
              <w:rPr>
                <w:sz w:val="20"/>
              </w:rPr>
              <w:t>Inside the Quiet Death of the Open Web</w:t>
            </w:r>
          </w:p>
        </w:tc>
        <w:tc>
          <w:tcPr>
            <w:tcW w:type="dxa" w:w="2232"/>
            <w:shd w:val="clear" w:color="auto" w:fill="FFFFFF"/>
          </w:tcPr>
          <w:p>
            <w:r>
              <w:rPr>
                <w:sz w:val="20"/>
              </w:rPr>
              <w:t>Wired</w:t>
            </w:r>
          </w:p>
        </w:tc>
        <w:tc>
          <w:tcPr>
            <w:tcW w:type="dxa" w:w="2232"/>
            <w:shd w:val="clear" w:color="auto" w:fill="FFFFFF"/>
          </w:tcPr>
          <w:p>
            <w:r>
              <w:rPr>
                <w:sz w:val="20"/>
              </w:rPr>
              <w:t>Mar 2025</w:t>
            </w:r>
          </w:p>
        </w:tc>
        <w:tc>
          <w:tcPr>
            <w:tcW w:type="dxa" w:w="2232"/>
            <w:shd w:val="clear" w:color="auto" w:fill="FFFFFF"/>
          </w:tcPr>
          <w:p>
            <w:r>
              <w:rPr>
                <w:sz w:val="20"/>
              </w:rPr>
              <w:t>4,800 words; Editors Pick; 95K+ reads</w:t>
            </w:r>
          </w:p>
        </w:tc>
      </w:tr>
      <w:tr>
        <w:tc>
          <w:tcPr>
            <w:tcW w:type="dxa" w:w="2232"/>
            <w:shd w:val="clear" w:color="auto" w:fill="F0F4FF"/>
          </w:tcPr>
          <w:p>
            <w:r>
              <w:rPr>
                <w:sz w:val="20"/>
              </w:rPr>
              <w:t>What Hospital Systems Learned from the Ransomware Wave</w:t>
            </w:r>
          </w:p>
        </w:tc>
        <w:tc>
          <w:tcPr>
            <w:tcW w:type="dxa" w:w="2232"/>
            <w:shd w:val="clear" w:color="auto" w:fill="F0F4FF"/>
          </w:tcPr>
          <w:p>
            <w:r>
              <w:rPr>
                <w:sz w:val="20"/>
              </w:rPr>
              <w:t>MIT Tech Review</w:t>
            </w:r>
          </w:p>
        </w:tc>
        <w:tc>
          <w:tcPr>
            <w:tcW w:type="dxa" w:w="2232"/>
            <w:shd w:val="clear" w:color="auto" w:fill="F0F4FF"/>
          </w:tcPr>
          <w:p>
            <w:r>
              <w:rPr>
                <w:sz w:val="20"/>
              </w:rPr>
              <w:t>Sep 2024</w:t>
            </w:r>
          </w:p>
        </w:tc>
        <w:tc>
          <w:tcPr>
            <w:tcW w:type="dxa" w:w="2232"/>
            <w:shd w:val="clear" w:color="auto" w:fill="F0F4FF"/>
          </w:tcPr>
          <w:p>
            <w:r>
              <w:rPr>
                <w:sz w:val="20"/>
              </w:rPr>
              <w:t>3,500 words; finalist, National Press Club Award</w:t>
            </w:r>
          </w:p>
        </w:tc>
      </w:tr>
      <w:tr>
        <w:tc>
          <w:tcPr>
            <w:tcW w:type="dxa" w:w="2232"/>
            <w:shd w:val="clear" w:color="auto" w:fill="FFFFFF"/>
          </w:tcPr>
          <w:p>
            <w:r>
              <w:rPr>
                <w:sz w:val="20"/>
              </w:rPr>
              <w:t>The Town That Refused to Be Automated</w:t>
            </w:r>
          </w:p>
        </w:tc>
        <w:tc>
          <w:tcPr>
            <w:tcW w:type="dxa" w:w="2232"/>
            <w:shd w:val="clear" w:color="auto" w:fill="FFFFFF"/>
          </w:tcPr>
          <w:p>
            <w:r>
              <w:rPr>
                <w:sz w:val="20"/>
              </w:rPr>
              <w:t>Fast Company</w:t>
            </w:r>
          </w:p>
        </w:tc>
        <w:tc>
          <w:tcPr>
            <w:tcW w:type="dxa" w:w="2232"/>
            <w:shd w:val="clear" w:color="auto" w:fill="FFFFFF"/>
          </w:tcPr>
          <w:p>
            <w:r>
              <w:rPr>
                <w:sz w:val="20"/>
              </w:rPr>
              <w:t>Jan 2024</w:t>
            </w:r>
          </w:p>
        </w:tc>
        <w:tc>
          <w:tcPr>
            <w:tcW w:type="dxa" w:w="2232"/>
            <w:shd w:val="clear" w:color="auto" w:fill="FFFFFF"/>
          </w:tcPr>
          <w:p>
            <w:r>
              <w:rPr>
                <w:sz w:val="20"/>
              </w:rPr>
              <w:t>5,100 words; named one of Fast Company's Best Stories 2024</w:t>
            </w:r>
          </w:p>
        </w:tc>
      </w:tr>
    </w:tbl>
    <w:p/>
    <w:p>
      <w:pPr>
        <w:spacing w:before="160" w:after="40"/>
        <w:jc w:val="left"/>
      </w:pPr>
      <w:r>
        <w:rPr>
          <w:b/>
          <w:color w:val="475569"/>
          <w:sz w:val="24"/>
        </w:rPr>
        <w:t>Brand Content / Content Strategy</w:t>
      </w:r>
    </w:p>
    <w:tbl>
      <w:tblPr>
        <w:tblStyle w:val="TableGrid"/>
        <w:tblW w:type="auto" w:w="0"/>
        <w:tblLook w:firstColumn="1" w:firstRow="1" w:lastColumn="0" w:lastRow="0" w:noHBand="0" w:noVBand="1" w:val="04A0"/>
      </w:tblPr>
      <w:tblGrid>
        <w:gridCol w:w="2976"/>
        <w:gridCol w:w="2976"/>
        <w:gridCol w:w="2976"/>
      </w:tblGrid>
      <w:tr>
        <w:tc>
          <w:tcPr>
            <w:tcW w:type="dxa" w:w="2976"/>
            <w:shd w:val="clear" w:color="auto" w:fill="1E40AF"/>
          </w:tcPr>
          <w:p>
            <w:r>
              <w:rPr>
                <w:b/>
                <w:color w:val="FFFFFF"/>
                <w:sz w:val="20"/>
              </w:rPr>
              <w:t>Project</w:t>
            </w:r>
          </w:p>
        </w:tc>
        <w:tc>
          <w:tcPr>
            <w:tcW w:type="dxa" w:w="2976"/>
            <w:shd w:val="clear" w:color="auto" w:fill="1E40AF"/>
          </w:tcPr>
          <w:p>
            <w:r>
              <w:rPr>
                <w:b/>
                <w:color w:val="FFFFFF"/>
                <w:sz w:val="20"/>
              </w:rPr>
              <w:t>Client</w:t>
            </w:r>
          </w:p>
        </w:tc>
        <w:tc>
          <w:tcPr>
            <w:tcW w:type="dxa" w:w="2976"/>
            <w:shd w:val="clear" w:color="auto" w:fill="1E40AF"/>
          </w:tcPr>
          <w:p>
            <w:r>
              <w:rPr>
                <w:b/>
                <w:color w:val="FFFFFF"/>
                <w:sz w:val="20"/>
              </w:rPr>
              <w:t>Results</w:t>
            </w:r>
          </w:p>
        </w:tc>
      </w:tr>
      <w:tr>
        <w:tc>
          <w:tcPr>
            <w:tcW w:type="dxa" w:w="2976"/>
            <w:shd w:val="clear" w:color="auto" w:fill="F0F4FF"/>
          </w:tcPr>
          <w:p>
            <w:r>
              <w:rPr>
                <w:sz w:val="20"/>
              </w:rPr>
              <w:t>Built and led 8-person editorial team</w:t>
            </w:r>
          </w:p>
        </w:tc>
        <w:tc>
          <w:tcPr>
            <w:tcW w:type="dxa" w:w="2976"/>
            <w:shd w:val="clear" w:color="auto" w:fill="F0F4FF"/>
          </w:tcPr>
          <w:p>
            <w:r>
              <w:rPr>
                <w:sz w:val="20"/>
              </w:rPr>
              <w:t>Cloudflare (in-house)</w:t>
            </w:r>
          </w:p>
        </w:tc>
        <w:tc>
          <w:tcPr>
            <w:tcW w:type="dxa" w:w="2976"/>
            <w:shd w:val="clear" w:color="auto" w:fill="F0F4FF"/>
          </w:tcPr>
          <w:p>
            <w:r>
              <w:rPr>
                <w:sz w:val="20"/>
              </w:rPr>
              <w:t>3x organic traffic growth in 18 months; $4.2M pipeline attributed</w:t>
            </w:r>
          </w:p>
        </w:tc>
      </w:tr>
      <w:tr>
        <w:tc>
          <w:tcPr>
            <w:tcW w:type="dxa" w:w="2976"/>
            <w:shd w:val="clear" w:color="auto" w:fill="FFFFFF"/>
          </w:tcPr>
          <w:p>
            <w:r>
              <w:rPr>
                <w:sz w:val="20"/>
              </w:rPr>
              <w:t>Quarterly research report series (8 issues)</w:t>
            </w:r>
          </w:p>
        </w:tc>
        <w:tc>
          <w:tcPr>
            <w:tcW w:type="dxa" w:w="2976"/>
            <w:shd w:val="clear" w:color="auto" w:fill="FFFFFF"/>
          </w:tcPr>
          <w:p>
            <w:r>
              <w:rPr>
                <w:sz w:val="20"/>
              </w:rPr>
              <w:t>Okta (contract)</w:t>
            </w:r>
          </w:p>
        </w:tc>
        <w:tc>
          <w:tcPr>
            <w:tcW w:type="dxa" w:w="2976"/>
            <w:shd w:val="clear" w:color="auto" w:fill="FFFFFF"/>
          </w:tcPr>
          <w:p>
            <w:r>
              <w:rPr>
                <w:sz w:val="20"/>
              </w:rPr>
              <w:t>Average 12K downloads per report; 2 cited in major press</w:t>
            </w:r>
          </w:p>
        </w:tc>
      </w:tr>
      <w:tr>
        <w:tc>
          <w:tcPr>
            <w:tcW w:type="dxa" w:w="2976"/>
            <w:shd w:val="clear" w:color="auto" w:fill="F0F4FF"/>
          </w:tcPr>
          <w:p>
            <w:r>
              <w:rPr>
                <w:sz w:val="20"/>
              </w:rPr>
              <w:t>CEO thought leadership program</w:t>
            </w:r>
          </w:p>
        </w:tc>
        <w:tc>
          <w:tcPr>
            <w:tcW w:type="dxa" w:w="2976"/>
            <w:shd w:val="clear" w:color="auto" w:fill="F0F4FF"/>
          </w:tcPr>
          <w:p>
            <w:r>
              <w:rPr>
                <w:sz w:val="20"/>
              </w:rPr>
              <w:t>Rippling (ghostwriting)</w:t>
            </w:r>
          </w:p>
        </w:tc>
        <w:tc>
          <w:tcPr>
            <w:tcW w:type="dxa" w:w="2976"/>
            <w:shd w:val="clear" w:color="auto" w:fill="F0F4FF"/>
          </w:tcPr>
          <w:p>
            <w:r>
              <w:rPr>
                <w:sz w:val="20"/>
              </w:rPr>
              <w:t>CEO LinkedIn: 0 to 48K followers; 3 viral posts &gt;100K impressions</w:t>
            </w:r>
          </w:p>
        </w:tc>
      </w:tr>
      <w:tr>
        <w:tc>
          <w:tcPr>
            <w:tcW w:type="dxa" w:w="2976"/>
            <w:shd w:val="clear" w:color="auto" w:fill="FFFFFF"/>
          </w:tcPr>
          <w:p>
            <w:r>
              <w:rPr>
                <w:sz w:val="20"/>
              </w:rPr>
              <w:t>SEO content cluster (52 articles)</w:t>
            </w:r>
          </w:p>
        </w:tc>
        <w:tc>
          <w:tcPr>
            <w:tcW w:type="dxa" w:w="2976"/>
            <w:shd w:val="clear" w:color="auto" w:fill="FFFFFF"/>
          </w:tcPr>
          <w:p>
            <w:r>
              <w:rPr>
                <w:sz w:val="20"/>
              </w:rPr>
              <w:t>Lattice (contract)</w:t>
            </w:r>
          </w:p>
        </w:tc>
        <w:tc>
          <w:tcPr>
            <w:tcW w:type="dxa" w:w="2976"/>
            <w:shd w:val="clear" w:color="auto" w:fill="FFFFFF"/>
          </w:tcPr>
          <w:p>
            <w:r>
              <w:rPr>
                <w:sz w:val="20"/>
              </w:rPr>
              <w:t>22 first-page rankings; 180K monthly organic visits from cluster</w:t>
            </w:r>
          </w:p>
        </w:tc>
      </w:tr>
    </w:tbl>
    <w:p/>
    <w:p>
      <w:pPr>
        <w:spacing w:before="40" w:after="40"/>
        <w:pBdr>
          <w:bottom w:val="single" w:sz="6" w:space="1" w:color="CBD5E1"/>
        </w:pBdr>
      </w:pPr>
    </w:p>
    <w:p>
      <w:pPr>
        <w:spacing w:before="200" w:after="80"/>
        <w:jc w:val="left"/>
      </w:pPr>
      <w:r>
        <w:rPr>
          <w:b/>
          <w:color w:val="1E40AF"/>
          <w:sz w:val="22"/>
        </w:rPr>
        <w:t>EDUCATION</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MA Journalism</w:t>
            </w:r>
          </w:p>
        </w:tc>
        <w:tc>
          <w:tcPr>
            <w:tcW w:type="dxa" w:w="4464"/>
            <w:shd w:val="clear" w:color="auto" w:fill="FFFFFF"/>
          </w:tcPr>
          <w:p>
            <w:r>
              <w:rPr>
                <w:sz w:val="20"/>
              </w:rPr>
              <w:t>Columbia University Graduate School of Journalism | 2016 | Concentration: Business &amp; Economics Reporting</w:t>
            </w:r>
          </w:p>
        </w:tc>
      </w:tr>
      <w:tr>
        <w:tc>
          <w:tcPr>
            <w:tcW w:type="dxa" w:w="4464"/>
            <w:shd w:val="clear" w:color="auto" w:fill="FFFFFF"/>
          </w:tcPr>
          <w:p>
            <w:r>
              <w:rPr>
                <w:b/>
                <w:color w:val="1E293B"/>
                <w:sz w:val="20"/>
              </w:rPr>
              <w:t>BA English and Political Science</w:t>
            </w:r>
          </w:p>
        </w:tc>
        <w:tc>
          <w:tcPr>
            <w:tcW w:type="dxa" w:w="4464"/>
            <w:shd w:val="clear" w:color="auto" w:fill="FFFFFF"/>
          </w:tcPr>
          <w:p>
            <w:r>
              <w:rPr>
                <w:sz w:val="20"/>
              </w:rPr>
              <w:t>University of Michigan | 2014 | Graduated with Honors</w:t>
            </w:r>
          </w:p>
        </w:tc>
      </w:tr>
    </w:tbl>
    <w:p/>
    <w:p>
      <w:pPr>
        <w:spacing w:after="100"/>
      </w:pPr>
      <w:r>
        <w:rPr>
          <w:color w:val="1E293B"/>
          <w:sz w:val="22"/>
        </w:rPr>
        <w:t>Available for staff roles, long-term content strategy retainers, and select investigative commissions. Contact: jordan.rivera.writes@email.com</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