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32"/>
        </w:rPr>
        <w:t>SCIENCE CONCEPT FRAYER MODEL</w:t>
      </w:r>
    </w:p>
    <w:p>
      <w:pPr>
        <w:spacing w:after="200"/>
      </w:pPr>
      <w:r>
        <w:rPr>
          <w:i/>
          <w:color w:val="64748B"/>
          <w:sz w:val="20"/>
        </w:rPr>
        <w:t>Complete all four quadrants for deep science vocabulary acquisition.</w:t>
      </w:r>
    </w:p>
    <w:p>
      <w:pPr>
        <w:spacing w:before="80" w:after="80"/>
        <w:jc w:val="left"/>
      </w:pPr>
      <w:r>
        <w:rPr>
          <w:b/>
          <w:color w:val="0D9488"/>
          <w:sz w:val="24"/>
        </w:rPr>
        <w:t>Concept: Photosynthesis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Scientific Definition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The process by which green plants, algae,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and some bacteria convert light energy into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chemical energy (glucose) using CO2 and H2O.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Equation: 6CO2 + 6H2O + light -&gt; C6H12O6 + 6O2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Key 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Requires chlorophyll (green pigment)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Occurs in chloroplasts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Produces oxygen as a byproduct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Two stages: light reactions + Calvin cycle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</w:tcPr>
          <w:p/>
        </w:tc>
        <w:tc>
          <w:tcPr>
            <w:tcW w:type="dxa" w:w="2016"/>
            <w:shd w:val="clear" w:color="auto" w:fill="0D9488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Photosynthesis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Examples in Nature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Oak tree leaves converting sunlight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Algae blooms in a pond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Cactus photosynthesizing via CAM pathway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Phytoplankton in the ocean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Respiration (opposite process)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Fermentation (uses glucose, no light)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Fungi absorbing nutrients from soil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Animals eating food for energy</w:t>
            </w:r>
          </w:p>
        </w:tc>
      </w:tr>
    </w:tbl>
    <w:p/>
    <w:p>
      <w:pPr>
        <w:spacing w:before="200" w:after="80"/>
        <w:jc w:val="left"/>
      </w:pPr>
      <w:r>
        <w:rPr>
          <w:b/>
          <w:color w:val="0D9488"/>
          <w:sz w:val="24"/>
        </w:rPr>
        <w:t>Concept: 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Scientific Definition</w:t>
            </w: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Key 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</w:tcPr>
          <w:p/>
        </w:tc>
        <w:tc>
          <w:tcPr>
            <w:tcW w:type="dxa" w:w="2016"/>
            <w:shd w:val="clear" w:color="auto" w:fill="0D9488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Your Term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Examples in Nature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0D9488"/>
              <w:bottom w:val="single" w:sz="16" w:space="0" w:color="0D9488"/>
              <w:left w:val="single" w:sz="16" w:space="0" w:color="0D9488"/>
              <w:right w:val="single" w:sz="16" w:space="0" w:color="0D9488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0D9488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</w:tbl>
    <w:p/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