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b/>
          <w:color w:val="64748B"/>
          <w:sz w:val="22"/>
        </w:rPr>
        <w:t>PROJECT EXECUTIVE SUMMARY</w:t>
      </w:r>
    </w:p>
    <w:p>
      <w:pPr>
        <w:spacing w:before="40" w:after="80"/>
        <w:jc w:val="center"/>
      </w:pPr>
      <w:r>
        <w:rPr>
          <w:b/>
          <w:color w:val="057A55"/>
          <w:sz w:val="36"/>
        </w:rPr>
        <w:t>Enterprise CRM Migration -- Salesforce to HubSpot</w:t>
      </w:r>
    </w:p>
    <w:p>
      <w:pPr>
        <w:spacing w:before="0" w:after="320"/>
        <w:jc w:val="center"/>
      </w:pPr>
      <w:r>
        <w:rPr>
          <w:b w:val="0"/>
          <w:color w:val="64748B"/>
          <w:sz w:val="20"/>
        </w:rPr>
        <w:t>Status: ON TRACK  |  Phase 2 of 3  |  Executive Steering Committee  |  April 2026</w:t>
      </w:r>
    </w:p>
    <w:p>
      <w:pPr>
        <w:spacing w:before="40" w:after="40"/>
        <w:pBdr>
          <w:bottom w:val="single" w:sz="6" w:space="1" w:color="CBD5E1"/>
        </w:pBdr>
      </w:pPr>
    </w:p>
    <w:p>
      <w:pPr>
        <w:spacing w:before="200" w:after="80"/>
        <w:jc w:val="left"/>
      </w:pPr>
      <w:r>
        <w:rPr>
          <w:b/>
          <w:color w:val="057A55"/>
          <w:sz w:val="22"/>
        </w:rPr>
        <w:t>PROJECT OVERVIEW</w:t>
      </w:r>
    </w:p>
    <w:p>
      <w:pPr>
        <w:spacing w:after="100"/>
      </w:pPr>
      <w:r>
        <w:rPr>
          <w:color w:val="1E293B"/>
          <w:sz w:val="22"/>
        </w:rPr>
        <w:t>This project migrates Meridian Corp's sales and marketing CRM from Salesforce Enterprise to HubSpot Sales Hub Enterprise. The migration affects 340 users across Sales, Marketing, Customer Success, and Partnerships. Scope includes data migration, integration re-wiring (ERP, billing, support), and user training. Budget: $410,000. Timeline: 9 months (Jan-Sep 2026).</w:t>
      </w:r>
    </w:p>
    <w:p>
      <w:pPr>
        <w:spacing w:before="40" w:after="40"/>
        <w:pBdr>
          <w:bottom w:val="single" w:sz="6" w:space="1" w:color="CBD5E1"/>
        </w:pBdr>
      </w:pPr>
    </w:p>
    <w:p>
      <w:pPr>
        <w:spacing w:before="200" w:after="80"/>
        <w:jc w:val="left"/>
      </w:pPr>
      <w:r>
        <w:rPr>
          <w:b/>
          <w:color w:val="057A55"/>
          <w:sz w:val="22"/>
        </w:rPr>
        <w:t>CURRENT STATUS</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Overall Health</w:t>
            </w:r>
          </w:p>
        </w:tc>
        <w:tc>
          <w:tcPr>
            <w:tcW w:type="dxa" w:w="4464"/>
            <w:shd w:val="clear" w:color="auto" w:fill="FFFFFF"/>
          </w:tcPr>
          <w:p>
            <w:r>
              <w:rPr>
                <w:sz w:val="20"/>
              </w:rPr>
              <w:t>GREEN -- On track</w:t>
            </w:r>
          </w:p>
        </w:tc>
      </w:tr>
      <w:tr>
        <w:tc>
          <w:tcPr>
            <w:tcW w:type="dxa" w:w="4464"/>
            <w:shd w:val="clear" w:color="auto" w:fill="FFFFFF"/>
          </w:tcPr>
          <w:p>
            <w:r>
              <w:rPr>
                <w:b/>
                <w:color w:val="1E293B"/>
                <w:sz w:val="20"/>
              </w:rPr>
              <w:t>Budget Status</w:t>
            </w:r>
          </w:p>
        </w:tc>
        <w:tc>
          <w:tcPr>
            <w:tcW w:type="dxa" w:w="4464"/>
            <w:shd w:val="clear" w:color="auto" w:fill="FFFFFF"/>
          </w:tcPr>
          <w:p>
            <w:r>
              <w:rPr>
                <w:sz w:val="20"/>
              </w:rPr>
              <w:t>GREEN -- $187K spent of $410K (46%); on budget</w:t>
            </w:r>
          </w:p>
        </w:tc>
      </w:tr>
      <w:tr>
        <w:tc>
          <w:tcPr>
            <w:tcW w:type="dxa" w:w="4464"/>
            <w:shd w:val="clear" w:color="auto" w:fill="F0F4FF"/>
          </w:tcPr>
          <w:p>
            <w:r>
              <w:rPr>
                <w:b/>
                <w:color w:val="1E293B"/>
                <w:sz w:val="20"/>
              </w:rPr>
              <w:t>Schedule Status</w:t>
            </w:r>
          </w:p>
        </w:tc>
        <w:tc>
          <w:tcPr>
            <w:tcW w:type="dxa" w:w="4464"/>
            <w:shd w:val="clear" w:color="auto" w:fill="FFFFFF"/>
          </w:tcPr>
          <w:p>
            <w:r>
              <w:rPr>
                <w:sz w:val="20"/>
              </w:rPr>
              <w:t>GREEN -- Phase 2 complete on target (April 30 milestone)</w:t>
            </w:r>
          </w:p>
        </w:tc>
      </w:tr>
      <w:tr>
        <w:tc>
          <w:tcPr>
            <w:tcW w:type="dxa" w:w="4464"/>
            <w:shd w:val="clear" w:color="auto" w:fill="FFFFFF"/>
          </w:tcPr>
          <w:p>
            <w:r>
              <w:rPr>
                <w:b/>
                <w:color w:val="1E293B"/>
                <w:sz w:val="20"/>
              </w:rPr>
              <w:t>Scope</w:t>
            </w:r>
          </w:p>
        </w:tc>
        <w:tc>
          <w:tcPr>
            <w:tcW w:type="dxa" w:w="4464"/>
            <w:shd w:val="clear" w:color="auto" w:fill="FFFFFF"/>
          </w:tcPr>
          <w:p>
            <w:r>
              <w:rPr>
                <w:sz w:val="20"/>
              </w:rPr>
              <w:t>YELLOW -- One scope addition pending: mobile app integration (est. +$22K, +2 weeks)</w:t>
            </w:r>
          </w:p>
        </w:tc>
      </w:tr>
      <w:tr>
        <w:tc>
          <w:tcPr>
            <w:tcW w:type="dxa" w:w="4464"/>
            <w:shd w:val="clear" w:color="auto" w:fill="F0F4FF"/>
          </w:tcPr>
          <w:p>
            <w:r>
              <w:rPr>
                <w:b/>
                <w:color w:val="1E293B"/>
                <w:sz w:val="20"/>
              </w:rPr>
              <w:t>Risk Level</w:t>
            </w:r>
          </w:p>
        </w:tc>
        <w:tc>
          <w:tcPr>
            <w:tcW w:type="dxa" w:w="4464"/>
            <w:shd w:val="clear" w:color="auto" w:fill="FFFFFF"/>
          </w:tcPr>
          <w:p>
            <w:r>
              <w:rPr>
                <w:sz w:val="20"/>
              </w:rPr>
              <w:t>LOW-MEDIUM -- Data mapping complexity higher than estimated; mitigation in place</w:t>
            </w:r>
          </w:p>
        </w:tc>
      </w:tr>
    </w:tbl>
    <w:p/>
    <w:p>
      <w:pPr>
        <w:spacing w:before="40" w:after="40"/>
        <w:pBdr>
          <w:bottom w:val="single" w:sz="6" w:space="1" w:color="CBD5E1"/>
        </w:pBdr>
      </w:pPr>
    </w:p>
    <w:p>
      <w:pPr>
        <w:spacing w:before="200" w:after="80"/>
        <w:jc w:val="left"/>
      </w:pPr>
      <w:r>
        <w:rPr>
          <w:b/>
          <w:color w:val="057A55"/>
          <w:sz w:val="22"/>
        </w:rPr>
        <w:t>ACCOMPLISHMENTS THIS PERIOD (MAR-APR 2026)</w:t>
      </w:r>
    </w:p>
    <w:p>
      <w:pPr>
        <w:pStyle w:val="ListBullet"/>
        <w:spacing w:after="60"/>
      </w:pPr>
      <w:r>
        <w:rPr>
          <w:color w:val="1E293B"/>
          <w:sz w:val="22"/>
        </w:rPr>
        <w:t>Completed full Salesforce data export and validation (4.2M contacts, 87K deals, 18 months activity history).</w:t>
      </w:r>
    </w:p>
    <w:p>
      <w:pPr>
        <w:pStyle w:val="ListBullet"/>
        <w:spacing w:after="60"/>
      </w:pPr>
      <w:r>
        <w:rPr>
          <w:color w:val="1E293B"/>
          <w:sz w:val="22"/>
        </w:rPr>
        <w:t>HubSpot sandbox environment provisioned and configured with all custom properties mapped.</w:t>
      </w:r>
    </w:p>
    <w:p>
      <w:pPr>
        <w:pStyle w:val="ListBullet"/>
        <w:spacing w:after="60"/>
      </w:pPr>
      <w:r>
        <w:rPr>
          <w:color w:val="1E293B"/>
          <w:sz w:val="22"/>
        </w:rPr>
        <w:t>ERP (NetSuite) integration tested successfully in sandbox; 99.7% data fidelity on 500-record test batch.</w:t>
      </w:r>
    </w:p>
    <w:p>
      <w:pPr>
        <w:pStyle w:val="ListBullet"/>
        <w:spacing w:after="60"/>
      </w:pPr>
      <w:r>
        <w:rPr>
          <w:color w:val="1E293B"/>
          <w:sz w:val="22"/>
        </w:rPr>
        <w:t>Phase 2 user acceptance testing completed by Sales leadership team (42 users); 3 minor UI feedback items logged.</w:t>
      </w:r>
    </w:p>
    <w:p/>
    <w:p>
      <w:pPr>
        <w:spacing w:before="40" w:after="40"/>
        <w:pBdr>
          <w:bottom w:val="single" w:sz="6" w:space="1" w:color="CBD5E1"/>
        </w:pBdr>
      </w:pPr>
    </w:p>
    <w:p>
      <w:pPr>
        <w:spacing w:before="200" w:after="80"/>
        <w:jc w:val="left"/>
      </w:pPr>
      <w:r>
        <w:rPr>
          <w:b/>
          <w:color w:val="057A55"/>
          <w:sz w:val="22"/>
        </w:rPr>
        <w:t>NEXT PERIOD PLAN (MAY-JUN 2026)</w:t>
      </w:r>
    </w:p>
    <w:p>
      <w:pPr>
        <w:pStyle w:val="ListBullet"/>
        <w:spacing w:after="60"/>
      </w:pPr>
      <w:r>
        <w:rPr>
          <w:color w:val="1E293B"/>
          <w:sz w:val="22"/>
        </w:rPr>
        <w:t>Execute production data migration (May 15-16 maintenance window).</w:t>
      </w:r>
    </w:p>
    <w:p>
      <w:pPr>
        <w:pStyle w:val="ListBullet"/>
        <w:spacing w:after="60"/>
      </w:pPr>
      <w:r>
        <w:rPr>
          <w:color w:val="1E293B"/>
          <w:sz w:val="22"/>
        </w:rPr>
        <w:t>Launch HubSpot for Sales and Marketing teams; Salesforce read-only for 30-day parallel run.</w:t>
      </w:r>
    </w:p>
    <w:p>
      <w:pPr>
        <w:pStyle w:val="ListBullet"/>
        <w:spacing w:after="60"/>
      </w:pPr>
      <w:r>
        <w:rPr>
          <w:color w:val="1E293B"/>
          <w:sz w:val="22"/>
        </w:rPr>
        <w:t>Complete Customer Success user training (80 users, 3 sessions).</w:t>
      </w:r>
    </w:p>
    <w:p>
      <w:pPr>
        <w:pStyle w:val="ListBullet"/>
        <w:spacing w:after="60"/>
      </w:pPr>
      <w:r>
        <w:rPr>
          <w:color w:val="1E293B"/>
          <w:sz w:val="22"/>
        </w:rPr>
        <w:t>Resolve mobile integration scope decision with IT leadership by May 10.</w:t>
      </w:r>
    </w:p>
    <w:p/>
    <w:p>
      <w:pPr>
        <w:spacing w:before="40" w:after="40"/>
        <w:pBdr>
          <w:bottom w:val="single" w:sz="6" w:space="1" w:color="CBD5E1"/>
        </w:pBdr>
      </w:pPr>
    </w:p>
    <w:p>
      <w:pPr>
        <w:spacing w:before="200" w:after="80"/>
        <w:jc w:val="left"/>
      </w:pPr>
      <w:r>
        <w:rPr>
          <w:b/>
          <w:color w:val="057A55"/>
          <w:sz w:val="22"/>
        </w:rPr>
        <w:t>KEY RISKS AND MITIGATIONS</w:t>
      </w:r>
    </w:p>
    <w:tbl>
      <w:tblPr>
        <w:tblStyle w:val="TableGrid"/>
        <w:tblW w:type="auto" w:w="0"/>
        <w:tblLook w:firstColumn="1" w:firstRow="1" w:lastColumn="0" w:lastRow="0" w:noHBand="0" w:noVBand="1" w:val="04A0"/>
      </w:tblPr>
      <w:tblGrid>
        <w:gridCol w:w="2232"/>
        <w:gridCol w:w="2232"/>
        <w:gridCol w:w="2232"/>
        <w:gridCol w:w="2232"/>
      </w:tblGrid>
      <w:tr>
        <w:tc>
          <w:tcPr>
            <w:tcW w:type="dxa" w:w="2232"/>
            <w:shd w:val="clear" w:color="auto" w:fill="1E40AF"/>
          </w:tcPr>
          <w:p>
            <w:r>
              <w:rPr>
                <w:b/>
                <w:color w:val="FFFFFF"/>
                <w:sz w:val="20"/>
              </w:rPr>
              <w:t>Risk</w:t>
            </w:r>
          </w:p>
        </w:tc>
        <w:tc>
          <w:tcPr>
            <w:tcW w:type="dxa" w:w="2232"/>
            <w:shd w:val="clear" w:color="auto" w:fill="1E40AF"/>
          </w:tcPr>
          <w:p>
            <w:r>
              <w:rPr>
                <w:b/>
                <w:color w:val="FFFFFF"/>
                <w:sz w:val="20"/>
              </w:rPr>
              <w:t>Probability</w:t>
            </w:r>
          </w:p>
        </w:tc>
        <w:tc>
          <w:tcPr>
            <w:tcW w:type="dxa" w:w="2232"/>
            <w:shd w:val="clear" w:color="auto" w:fill="1E40AF"/>
          </w:tcPr>
          <w:p>
            <w:r>
              <w:rPr>
                <w:b/>
                <w:color w:val="FFFFFF"/>
                <w:sz w:val="20"/>
              </w:rPr>
              <w:t>Impact</w:t>
            </w:r>
          </w:p>
        </w:tc>
        <w:tc>
          <w:tcPr>
            <w:tcW w:type="dxa" w:w="2232"/>
            <w:shd w:val="clear" w:color="auto" w:fill="1E40AF"/>
          </w:tcPr>
          <w:p>
            <w:r>
              <w:rPr>
                <w:b/>
                <w:color w:val="FFFFFF"/>
                <w:sz w:val="20"/>
              </w:rPr>
              <w:t>Mitigation</w:t>
            </w:r>
          </w:p>
        </w:tc>
      </w:tr>
      <w:tr>
        <w:tc>
          <w:tcPr>
            <w:tcW w:type="dxa" w:w="2232"/>
            <w:shd w:val="clear" w:color="auto" w:fill="F0F4FF"/>
          </w:tcPr>
          <w:p>
            <w:r>
              <w:rPr>
                <w:sz w:val="20"/>
              </w:rPr>
              <w:t>Data deduplication volume larger than scoped</w:t>
            </w:r>
          </w:p>
        </w:tc>
        <w:tc>
          <w:tcPr>
            <w:tcW w:type="dxa" w:w="2232"/>
            <w:shd w:val="clear" w:color="auto" w:fill="F0F4FF"/>
          </w:tcPr>
          <w:p>
            <w:r>
              <w:rPr>
                <w:sz w:val="20"/>
              </w:rPr>
              <w:t>Medium</w:t>
            </w:r>
          </w:p>
        </w:tc>
        <w:tc>
          <w:tcPr>
            <w:tcW w:type="dxa" w:w="2232"/>
            <w:shd w:val="clear" w:color="auto" w:fill="F0F4FF"/>
          </w:tcPr>
          <w:p>
            <w:r>
              <w:rPr>
                <w:sz w:val="20"/>
              </w:rPr>
              <w:t>High</w:t>
            </w:r>
          </w:p>
        </w:tc>
        <w:tc>
          <w:tcPr>
            <w:tcW w:type="dxa" w:w="2232"/>
            <w:shd w:val="clear" w:color="auto" w:fill="F0F4FF"/>
          </w:tcPr>
          <w:p>
            <w:r>
              <w:rPr>
                <w:sz w:val="20"/>
              </w:rPr>
              <w:t>Brought in HubSpot PS consultant; 2-week buffer in schedule</w:t>
            </w:r>
          </w:p>
        </w:tc>
      </w:tr>
      <w:tr>
        <w:tc>
          <w:tcPr>
            <w:tcW w:type="dxa" w:w="2232"/>
            <w:shd w:val="clear" w:color="auto" w:fill="FFFFFF"/>
          </w:tcPr>
          <w:p>
            <w:r>
              <w:rPr>
                <w:sz w:val="20"/>
              </w:rPr>
              <w:t>Salesforce parallel run extends beyond 30 days</w:t>
            </w:r>
          </w:p>
        </w:tc>
        <w:tc>
          <w:tcPr>
            <w:tcW w:type="dxa" w:w="2232"/>
            <w:shd w:val="clear" w:color="auto" w:fill="FFFFFF"/>
          </w:tcPr>
          <w:p>
            <w:r>
              <w:rPr>
                <w:sz w:val="20"/>
              </w:rPr>
              <w:t>Low</w:t>
            </w:r>
          </w:p>
        </w:tc>
        <w:tc>
          <w:tcPr>
            <w:tcW w:type="dxa" w:w="2232"/>
            <w:shd w:val="clear" w:color="auto" w:fill="FFFFFF"/>
          </w:tcPr>
          <w:p>
            <w:r>
              <w:rPr>
                <w:sz w:val="20"/>
              </w:rPr>
              <w:t>Medium</w:t>
            </w:r>
          </w:p>
        </w:tc>
        <w:tc>
          <w:tcPr>
            <w:tcW w:type="dxa" w:w="2232"/>
            <w:shd w:val="clear" w:color="auto" w:fill="FFFFFF"/>
          </w:tcPr>
          <w:p>
            <w:r>
              <w:rPr>
                <w:sz w:val="20"/>
              </w:rPr>
              <w:t>Executive mandate for cutover; cost structure incentivizes speed</w:t>
            </w:r>
          </w:p>
        </w:tc>
      </w:tr>
      <w:tr>
        <w:tc>
          <w:tcPr>
            <w:tcW w:type="dxa" w:w="2232"/>
            <w:shd w:val="clear" w:color="auto" w:fill="F0F4FF"/>
          </w:tcPr>
          <w:p>
            <w:r>
              <w:rPr>
                <w:sz w:val="20"/>
              </w:rPr>
              <w:t>Mobile integration delay</w:t>
            </w:r>
          </w:p>
        </w:tc>
        <w:tc>
          <w:tcPr>
            <w:tcW w:type="dxa" w:w="2232"/>
            <w:shd w:val="clear" w:color="auto" w:fill="F0F4FF"/>
          </w:tcPr>
          <w:p>
            <w:r>
              <w:rPr>
                <w:sz w:val="20"/>
              </w:rPr>
              <w:t>High</w:t>
            </w:r>
          </w:p>
        </w:tc>
        <w:tc>
          <w:tcPr>
            <w:tcW w:type="dxa" w:w="2232"/>
            <w:shd w:val="clear" w:color="auto" w:fill="F0F4FF"/>
          </w:tcPr>
          <w:p>
            <w:r>
              <w:rPr>
                <w:sz w:val="20"/>
              </w:rPr>
              <w:t>Low</w:t>
            </w:r>
          </w:p>
        </w:tc>
        <w:tc>
          <w:tcPr>
            <w:tcW w:type="dxa" w:w="2232"/>
            <w:shd w:val="clear" w:color="auto" w:fill="F0F4FF"/>
          </w:tcPr>
          <w:p>
            <w:r>
              <w:rPr>
                <w:sz w:val="20"/>
              </w:rPr>
              <w:t>Descoped to Phase 4 if decision not reached by May 10</w:t>
            </w:r>
          </w:p>
        </w:tc>
      </w:tr>
    </w:tbl>
    <w:p/>
    <w:p>
      <w:pPr>
        <w:spacing w:before="40" w:after="40"/>
        <w:pBdr>
          <w:bottom w:val="single" w:sz="6" w:space="1" w:color="CBD5E1"/>
        </w:pBdr>
      </w:pPr>
    </w:p>
    <w:p>
      <w:pPr>
        <w:spacing w:before="200" w:after="80"/>
        <w:jc w:val="left"/>
      </w:pPr>
      <w:r>
        <w:rPr>
          <w:b/>
          <w:color w:val="057A55"/>
          <w:sz w:val="22"/>
        </w:rPr>
        <w:t>DECISIONS REQUIRED</w:t>
      </w:r>
    </w:p>
    <w:p>
      <w:pPr>
        <w:pStyle w:val="ListBullet"/>
        <w:spacing w:after="60"/>
      </w:pPr>
      <w:r>
        <w:rPr>
          <w:color w:val="1E293B"/>
          <w:sz w:val="22"/>
        </w:rPr>
        <w:t>DECISION NEEDED (May 10): Approve mobile integration scope addition (+$22K, +2 weeks) or defer to Phase 4.</w:t>
      </w:r>
    </w:p>
    <w:p>
      <w:pPr>
        <w:pStyle w:val="ListBullet"/>
        <w:spacing w:after="60"/>
      </w:pPr>
      <w:r>
        <w:rPr>
          <w:color w:val="1E293B"/>
          <w:sz w:val="22"/>
        </w:rPr>
        <w:t>DECISION NEEDED (May 15): Confirm maintenance window for production migration (6-hour Saturday window).</w:t>
      </w:r>
    </w:p>
    <w:p/>
    <w:p>
      <w:pPr>
        <w:spacing w:after="100"/>
      </w:pPr>
      <w:r>
        <w:rPr>
          <w:color w:val="1E293B"/>
          <w:sz w:val="22"/>
        </w:rPr>
        <w:t>Prepared by: Sarah Chen, Project Manager | s.chen@meridiancorp.com | (512) 555-0142</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