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b/>
          <w:color w:val="64748B"/>
          <w:sz w:val="22"/>
        </w:rPr>
        <w:t>EXECUTIVE SUMMARY</w:t>
      </w:r>
    </w:p>
    <w:p>
      <w:pPr>
        <w:spacing w:before="40" w:after="80"/>
        <w:jc w:val="center"/>
      </w:pPr>
      <w:r>
        <w:rPr>
          <w:b/>
          <w:color w:val="1E40AF"/>
          <w:sz w:val="40"/>
        </w:rPr>
        <w:t>NexaFlow Software, Inc.</w:t>
      </w:r>
    </w:p>
    <w:p>
      <w:pPr>
        <w:spacing w:before="0" w:after="320"/>
        <w:jc w:val="center"/>
      </w:pPr>
      <w:r>
        <w:rPr>
          <w:b w:val="0"/>
          <w:color w:val="64748B"/>
          <w:sz w:val="20"/>
        </w:rPr>
        <w:t>Series A Business Plan  |  Seeking $4.5M  |  Confidential -- April 2026</w:t>
      </w:r>
    </w:p>
    <w:p>
      <w:pPr>
        <w:spacing w:before="40" w:after="40"/>
        <w:pBdr>
          <w:bottom w:val="single" w:sz="6" w:space="1" w:color="CBD5E1"/>
        </w:pBdr>
      </w:pPr>
    </w:p>
    <w:p>
      <w:pPr>
        <w:spacing w:before="200" w:after="80"/>
        <w:jc w:val="left"/>
      </w:pPr>
      <w:r>
        <w:rPr>
          <w:b/>
          <w:color w:val="1E40AF"/>
          <w:sz w:val="22"/>
        </w:rPr>
        <w:t>BUSINESS OVERVIEW</w:t>
      </w:r>
    </w:p>
    <w:p>
      <w:pPr>
        <w:spacing w:after="100"/>
      </w:pPr>
      <w:r>
        <w:rPr>
          <w:color w:val="1E293B"/>
          <w:sz w:val="22"/>
        </w:rPr>
        <w:t>NexaFlow Software develops AI-powered workflow automation tools for mid-market professional services firms (legal, accounting, and consulting). Our flagship product, FlowCore, eliminates an average of 11 hours per week of manual document routing and approval bottlenecks for teams of 25-200 employees. Founded in 2023 and headquartered in Austin, TX, NexaFlow serves 87 paying customers and processes over 2.3 million workflow events per month.</w:t>
      </w:r>
    </w:p>
    <w:p>
      <w:pPr>
        <w:spacing w:before="40" w:after="40"/>
        <w:pBdr>
          <w:bottom w:val="single" w:sz="6" w:space="1" w:color="CBD5E1"/>
        </w:pBdr>
      </w:pPr>
    </w:p>
    <w:p>
      <w:pPr>
        <w:spacing w:before="200" w:after="80"/>
        <w:jc w:val="left"/>
      </w:pPr>
      <w:r>
        <w:rPr>
          <w:b/>
          <w:color w:val="1E40AF"/>
          <w:sz w:val="22"/>
        </w:rPr>
        <w:t>MARKET OPPORTUNITY</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Total Addressable Market</w:t>
            </w:r>
          </w:p>
        </w:tc>
        <w:tc>
          <w:tcPr>
            <w:tcW w:type="dxa" w:w="4464"/>
            <w:shd w:val="clear" w:color="auto" w:fill="FFFFFF"/>
          </w:tcPr>
          <w:p>
            <w:r>
              <w:rPr>
                <w:sz w:val="20"/>
              </w:rPr>
              <w:t>$8.4B -- US professional services workflow automation (2026)</w:t>
            </w:r>
          </w:p>
        </w:tc>
      </w:tr>
      <w:tr>
        <w:tc>
          <w:tcPr>
            <w:tcW w:type="dxa" w:w="4464"/>
            <w:shd w:val="clear" w:color="auto" w:fill="FFFFFF"/>
          </w:tcPr>
          <w:p>
            <w:r>
              <w:rPr>
                <w:b/>
                <w:color w:val="1E293B"/>
                <w:sz w:val="20"/>
              </w:rPr>
              <w:t>Serviceable Addressable Market</w:t>
            </w:r>
          </w:p>
        </w:tc>
        <w:tc>
          <w:tcPr>
            <w:tcW w:type="dxa" w:w="4464"/>
            <w:shd w:val="clear" w:color="auto" w:fill="FFFFFF"/>
          </w:tcPr>
          <w:p>
            <w:r>
              <w:rPr>
                <w:sz w:val="20"/>
              </w:rPr>
              <w:t>$1.2B -- Mid-market segment (25-200 employees, US)</w:t>
            </w:r>
          </w:p>
        </w:tc>
      </w:tr>
      <w:tr>
        <w:tc>
          <w:tcPr>
            <w:tcW w:type="dxa" w:w="4464"/>
            <w:shd w:val="clear" w:color="auto" w:fill="F0F4FF"/>
          </w:tcPr>
          <w:p>
            <w:r>
              <w:rPr>
                <w:b/>
                <w:color w:val="1E293B"/>
                <w:sz w:val="20"/>
              </w:rPr>
              <w:t>Serviceable Obtainable Market</w:t>
            </w:r>
          </w:p>
        </w:tc>
        <w:tc>
          <w:tcPr>
            <w:tcW w:type="dxa" w:w="4464"/>
            <w:shd w:val="clear" w:color="auto" w:fill="FFFFFF"/>
          </w:tcPr>
          <w:p>
            <w:r>
              <w:rPr>
                <w:sz w:val="20"/>
              </w:rPr>
              <w:t>$85M -- Reachable via direct sales + channel in 36 months</w:t>
            </w:r>
          </w:p>
        </w:tc>
      </w:tr>
      <w:tr>
        <w:tc>
          <w:tcPr>
            <w:tcW w:type="dxa" w:w="4464"/>
            <w:shd w:val="clear" w:color="auto" w:fill="FFFFFF"/>
          </w:tcPr>
          <w:p>
            <w:r>
              <w:rPr>
                <w:b/>
                <w:color w:val="1E293B"/>
                <w:sz w:val="20"/>
              </w:rPr>
              <w:t>CAGR</w:t>
            </w:r>
          </w:p>
        </w:tc>
        <w:tc>
          <w:tcPr>
            <w:tcW w:type="dxa" w:w="4464"/>
            <w:shd w:val="clear" w:color="auto" w:fill="FFFFFF"/>
          </w:tcPr>
          <w:p>
            <w:r>
              <w:rPr>
                <w:sz w:val="20"/>
              </w:rPr>
              <w:t>18.3% -- Projected through 2030 (Gartner, 2025)</w:t>
            </w:r>
          </w:p>
        </w:tc>
      </w:tr>
    </w:tbl>
    <w:p/>
    <w:p>
      <w:pPr>
        <w:spacing w:before="40" w:after="40"/>
        <w:pBdr>
          <w:bottom w:val="single" w:sz="6" w:space="1" w:color="CBD5E1"/>
        </w:pBdr>
      </w:pPr>
    </w:p>
    <w:p>
      <w:pPr>
        <w:spacing w:before="200" w:after="80"/>
        <w:jc w:val="left"/>
      </w:pPr>
      <w:r>
        <w:rPr>
          <w:b/>
          <w:color w:val="1E40AF"/>
          <w:sz w:val="22"/>
        </w:rPr>
        <w:t>PROBLEM AND SOLUTION</w:t>
      </w:r>
    </w:p>
    <w:p>
      <w:pPr>
        <w:spacing w:after="100"/>
      </w:pPr>
      <w:r>
        <w:rPr>
          <w:color w:val="1E293B"/>
          <w:sz w:val="22"/>
        </w:rPr>
        <w:t>Mid-market professional services firms lose an estimated 14% of billable capacity annually to non-billable document routing, manual approval chains, and status chasing. Enterprise solutions (ServiceNow, Pega) are prohibitively expensive at $150-$500K implementation cost. SMB tools (Zapier, Make) lack the document-intelligence layer required for compliance-sensitive workflows.</w:t>
      </w:r>
    </w:p>
    <w:p>
      <w:pPr>
        <w:spacing w:after="100"/>
      </w:pPr>
      <w:r>
        <w:rPr>
          <w:color w:val="1E293B"/>
          <w:sz w:val="22"/>
        </w:rPr>
        <w:t>FlowCore sits precisely in this gap: an intelligent workflow engine priced at $149/user/month that deploys in under two weeks and integrates natively with tools professional services teams already use -- Clio, QuickBooks, Salesforce, and Microsoft 365.</w:t>
      </w:r>
    </w:p>
    <w:p>
      <w:pPr>
        <w:spacing w:before="40" w:after="40"/>
        <w:pBdr>
          <w:bottom w:val="single" w:sz="6" w:space="1" w:color="CBD5E1"/>
        </w:pBdr>
      </w:pPr>
    </w:p>
    <w:p>
      <w:pPr>
        <w:spacing w:before="200" w:after="80"/>
        <w:jc w:val="left"/>
      </w:pPr>
      <w:r>
        <w:rPr>
          <w:b/>
          <w:color w:val="1E40AF"/>
          <w:sz w:val="22"/>
        </w:rPr>
        <w:t>TRACTION AND FINANCIALS</w:t>
      </w:r>
    </w:p>
    <w:tbl>
      <w:tblPr>
        <w:tblStyle w:val="TableGrid"/>
        <w:tblW w:type="auto" w:w="0"/>
        <w:tblLook w:firstColumn="1" w:firstRow="1" w:lastColumn="0" w:lastRow="0" w:noHBand="0" w:noVBand="1" w:val="04A0"/>
      </w:tblPr>
      <w:tblGrid>
        <w:gridCol w:w="2976"/>
        <w:gridCol w:w="2976"/>
        <w:gridCol w:w="2976"/>
      </w:tblGrid>
      <w:tr>
        <w:tc>
          <w:tcPr>
            <w:tcW w:type="dxa" w:w="2976"/>
            <w:shd w:val="clear" w:color="auto" w:fill="1E40AF"/>
          </w:tcPr>
          <w:p>
            <w:r>
              <w:rPr>
                <w:b/>
                <w:color w:val="FFFFFF"/>
                <w:sz w:val="20"/>
              </w:rPr>
              <w:t>Metric</w:t>
            </w:r>
          </w:p>
        </w:tc>
        <w:tc>
          <w:tcPr>
            <w:tcW w:type="dxa" w:w="2976"/>
            <w:shd w:val="clear" w:color="auto" w:fill="1E40AF"/>
          </w:tcPr>
          <w:p>
            <w:r>
              <w:rPr>
                <w:b/>
                <w:color w:val="FFFFFF"/>
                <w:sz w:val="20"/>
              </w:rPr>
              <w:t>Current (Apr 2026)</w:t>
            </w:r>
          </w:p>
        </w:tc>
        <w:tc>
          <w:tcPr>
            <w:tcW w:type="dxa" w:w="2976"/>
            <w:shd w:val="clear" w:color="auto" w:fill="1E40AF"/>
          </w:tcPr>
          <w:p>
            <w:r>
              <w:rPr>
                <w:b/>
                <w:color w:val="FFFFFF"/>
                <w:sz w:val="20"/>
              </w:rPr>
              <w:t>12-Month Target</w:t>
            </w:r>
          </w:p>
        </w:tc>
      </w:tr>
      <w:tr>
        <w:tc>
          <w:tcPr>
            <w:tcW w:type="dxa" w:w="2976"/>
            <w:shd w:val="clear" w:color="auto" w:fill="F0F4FF"/>
          </w:tcPr>
          <w:p>
            <w:r>
              <w:rPr>
                <w:sz w:val="20"/>
              </w:rPr>
              <w:t>Annual Recurring Revenue</w:t>
            </w:r>
          </w:p>
        </w:tc>
        <w:tc>
          <w:tcPr>
            <w:tcW w:type="dxa" w:w="2976"/>
            <w:shd w:val="clear" w:color="auto" w:fill="F0F4FF"/>
          </w:tcPr>
          <w:p>
            <w:r>
              <w:rPr>
                <w:sz w:val="20"/>
              </w:rPr>
              <w:t>$1.1M</w:t>
            </w:r>
          </w:p>
        </w:tc>
        <w:tc>
          <w:tcPr>
            <w:tcW w:type="dxa" w:w="2976"/>
            <w:shd w:val="clear" w:color="auto" w:fill="F0F4FF"/>
          </w:tcPr>
          <w:p>
            <w:r>
              <w:rPr>
                <w:sz w:val="20"/>
              </w:rPr>
              <w:t>$4.2M</w:t>
            </w:r>
          </w:p>
        </w:tc>
      </w:tr>
      <w:tr>
        <w:tc>
          <w:tcPr>
            <w:tcW w:type="dxa" w:w="2976"/>
            <w:shd w:val="clear" w:color="auto" w:fill="FFFFFF"/>
          </w:tcPr>
          <w:p>
            <w:r>
              <w:rPr>
                <w:sz w:val="20"/>
              </w:rPr>
              <w:t>Paying Customers</w:t>
            </w:r>
          </w:p>
        </w:tc>
        <w:tc>
          <w:tcPr>
            <w:tcW w:type="dxa" w:w="2976"/>
            <w:shd w:val="clear" w:color="auto" w:fill="FFFFFF"/>
          </w:tcPr>
          <w:p>
            <w:r>
              <w:rPr>
                <w:sz w:val="20"/>
              </w:rPr>
              <w:t>87</w:t>
            </w:r>
          </w:p>
        </w:tc>
        <w:tc>
          <w:tcPr>
            <w:tcW w:type="dxa" w:w="2976"/>
            <w:shd w:val="clear" w:color="auto" w:fill="FFFFFF"/>
          </w:tcPr>
          <w:p>
            <w:r>
              <w:rPr>
                <w:sz w:val="20"/>
              </w:rPr>
              <w:t>280</w:t>
            </w:r>
          </w:p>
        </w:tc>
      </w:tr>
      <w:tr>
        <w:tc>
          <w:tcPr>
            <w:tcW w:type="dxa" w:w="2976"/>
            <w:shd w:val="clear" w:color="auto" w:fill="F0F4FF"/>
          </w:tcPr>
          <w:p>
            <w:r>
              <w:rPr>
                <w:sz w:val="20"/>
              </w:rPr>
              <w:t>Net Revenue Retention</w:t>
            </w:r>
          </w:p>
        </w:tc>
        <w:tc>
          <w:tcPr>
            <w:tcW w:type="dxa" w:w="2976"/>
            <w:shd w:val="clear" w:color="auto" w:fill="F0F4FF"/>
          </w:tcPr>
          <w:p>
            <w:r>
              <w:rPr>
                <w:sz w:val="20"/>
              </w:rPr>
              <w:t>118%</w:t>
            </w:r>
          </w:p>
        </w:tc>
        <w:tc>
          <w:tcPr>
            <w:tcW w:type="dxa" w:w="2976"/>
            <w:shd w:val="clear" w:color="auto" w:fill="F0F4FF"/>
          </w:tcPr>
          <w:p>
            <w:r>
              <w:rPr>
                <w:sz w:val="20"/>
              </w:rPr>
              <w:t>125%</w:t>
            </w:r>
          </w:p>
        </w:tc>
      </w:tr>
      <w:tr>
        <w:tc>
          <w:tcPr>
            <w:tcW w:type="dxa" w:w="2976"/>
            <w:shd w:val="clear" w:color="auto" w:fill="FFFFFF"/>
          </w:tcPr>
          <w:p>
            <w:r>
              <w:rPr>
                <w:sz w:val="20"/>
              </w:rPr>
              <w:t>Gross Margin</w:t>
            </w:r>
          </w:p>
        </w:tc>
        <w:tc>
          <w:tcPr>
            <w:tcW w:type="dxa" w:w="2976"/>
            <w:shd w:val="clear" w:color="auto" w:fill="FFFFFF"/>
          </w:tcPr>
          <w:p>
            <w:r>
              <w:rPr>
                <w:sz w:val="20"/>
              </w:rPr>
              <w:t>74%</w:t>
            </w:r>
          </w:p>
        </w:tc>
        <w:tc>
          <w:tcPr>
            <w:tcW w:type="dxa" w:w="2976"/>
            <w:shd w:val="clear" w:color="auto" w:fill="FFFFFF"/>
          </w:tcPr>
          <w:p>
            <w:r>
              <w:rPr>
                <w:sz w:val="20"/>
              </w:rPr>
              <w:t>78%</w:t>
            </w:r>
          </w:p>
        </w:tc>
      </w:tr>
      <w:tr>
        <w:tc>
          <w:tcPr>
            <w:tcW w:type="dxa" w:w="2976"/>
            <w:shd w:val="clear" w:color="auto" w:fill="F0F4FF"/>
          </w:tcPr>
          <w:p>
            <w:r>
              <w:rPr>
                <w:sz w:val="20"/>
              </w:rPr>
              <w:t>CAC Payback Period</w:t>
            </w:r>
          </w:p>
        </w:tc>
        <w:tc>
          <w:tcPr>
            <w:tcW w:type="dxa" w:w="2976"/>
            <w:shd w:val="clear" w:color="auto" w:fill="F0F4FF"/>
          </w:tcPr>
          <w:p>
            <w:r>
              <w:rPr>
                <w:sz w:val="20"/>
              </w:rPr>
              <w:t>9.2 months</w:t>
            </w:r>
          </w:p>
        </w:tc>
        <w:tc>
          <w:tcPr>
            <w:tcW w:type="dxa" w:w="2976"/>
            <w:shd w:val="clear" w:color="auto" w:fill="F0F4FF"/>
          </w:tcPr>
          <w:p>
            <w:r>
              <w:rPr>
                <w:sz w:val="20"/>
              </w:rPr>
              <w:t>7.5 months</w:t>
            </w:r>
          </w:p>
        </w:tc>
      </w:tr>
    </w:tbl>
    <w:p/>
    <w:p>
      <w:pPr>
        <w:spacing w:before="40" w:after="40"/>
        <w:pBdr>
          <w:bottom w:val="single" w:sz="6" w:space="1" w:color="CBD5E1"/>
        </w:pBdr>
      </w:pPr>
    </w:p>
    <w:p>
      <w:pPr>
        <w:spacing w:before="200" w:after="80"/>
        <w:jc w:val="left"/>
      </w:pPr>
      <w:r>
        <w:rPr>
          <w:b/>
          <w:color w:val="1E40AF"/>
          <w:sz w:val="22"/>
        </w:rPr>
        <w:t>USE OF FUNDS</w:t>
      </w:r>
    </w:p>
    <w:tbl>
      <w:tblPr>
        <w:tblStyle w:val="TableGrid"/>
        <w:tblW w:type="auto" w:w="0"/>
        <w:tblLook w:firstColumn="1" w:firstRow="1" w:lastColumn="0" w:lastRow="0" w:noHBand="0" w:noVBand="1" w:val="04A0"/>
      </w:tblPr>
      <w:tblGrid>
        <w:gridCol w:w="2976"/>
        <w:gridCol w:w="2976"/>
        <w:gridCol w:w="2976"/>
      </w:tblGrid>
      <w:tr>
        <w:tc>
          <w:tcPr>
            <w:tcW w:type="dxa" w:w="2976"/>
            <w:shd w:val="clear" w:color="auto" w:fill="1E40AF"/>
          </w:tcPr>
          <w:p>
            <w:r>
              <w:rPr>
                <w:b/>
                <w:color w:val="FFFFFF"/>
                <w:sz w:val="20"/>
              </w:rPr>
              <w:t>Category</w:t>
            </w:r>
          </w:p>
        </w:tc>
        <w:tc>
          <w:tcPr>
            <w:tcW w:type="dxa" w:w="2976"/>
            <w:shd w:val="clear" w:color="auto" w:fill="1E40AF"/>
          </w:tcPr>
          <w:p>
            <w:r>
              <w:rPr>
                <w:b/>
                <w:color w:val="FFFFFF"/>
                <w:sz w:val="20"/>
              </w:rPr>
              <w:t>Allocation</w:t>
            </w:r>
          </w:p>
        </w:tc>
        <w:tc>
          <w:tcPr>
            <w:tcW w:type="dxa" w:w="2976"/>
            <w:shd w:val="clear" w:color="auto" w:fill="1E40AF"/>
          </w:tcPr>
          <w:p>
            <w:r>
              <w:rPr>
                <w:b/>
                <w:color w:val="FFFFFF"/>
                <w:sz w:val="20"/>
              </w:rPr>
              <w:t>Purpose</w:t>
            </w:r>
          </w:p>
        </w:tc>
      </w:tr>
      <w:tr>
        <w:tc>
          <w:tcPr>
            <w:tcW w:type="dxa" w:w="2976"/>
            <w:shd w:val="clear" w:color="auto" w:fill="F0F4FF"/>
          </w:tcPr>
          <w:p>
            <w:r>
              <w:rPr>
                <w:sz w:val="20"/>
              </w:rPr>
              <w:t>Sales and Marketing</w:t>
            </w:r>
          </w:p>
        </w:tc>
        <w:tc>
          <w:tcPr>
            <w:tcW w:type="dxa" w:w="2976"/>
            <w:shd w:val="clear" w:color="auto" w:fill="F0F4FF"/>
          </w:tcPr>
          <w:p>
            <w:r>
              <w:rPr>
                <w:sz w:val="20"/>
              </w:rPr>
              <w:t>$2.0M (44%)</w:t>
            </w:r>
          </w:p>
        </w:tc>
        <w:tc>
          <w:tcPr>
            <w:tcW w:type="dxa" w:w="2976"/>
            <w:shd w:val="clear" w:color="auto" w:fill="F0F4FF"/>
          </w:tcPr>
          <w:p>
            <w:r>
              <w:rPr>
                <w:sz w:val="20"/>
              </w:rPr>
              <w:t>Double sales team; launch partner channel</w:t>
            </w:r>
          </w:p>
        </w:tc>
      </w:tr>
      <w:tr>
        <w:tc>
          <w:tcPr>
            <w:tcW w:type="dxa" w:w="2976"/>
            <w:shd w:val="clear" w:color="auto" w:fill="FFFFFF"/>
          </w:tcPr>
          <w:p>
            <w:r>
              <w:rPr>
                <w:sz w:val="20"/>
              </w:rPr>
              <w:t>Product Engineering</w:t>
            </w:r>
          </w:p>
        </w:tc>
        <w:tc>
          <w:tcPr>
            <w:tcW w:type="dxa" w:w="2976"/>
            <w:shd w:val="clear" w:color="auto" w:fill="FFFFFF"/>
          </w:tcPr>
          <w:p>
            <w:r>
              <w:rPr>
                <w:sz w:val="20"/>
              </w:rPr>
              <w:t>$1.4M (31%)</w:t>
            </w:r>
          </w:p>
        </w:tc>
        <w:tc>
          <w:tcPr>
            <w:tcW w:type="dxa" w:w="2976"/>
            <w:shd w:val="clear" w:color="auto" w:fill="FFFFFF"/>
          </w:tcPr>
          <w:p>
            <w:r>
              <w:rPr>
                <w:sz w:val="20"/>
              </w:rPr>
              <w:t>AI document classifier v2; mobile app</w:t>
            </w:r>
          </w:p>
        </w:tc>
      </w:tr>
      <w:tr>
        <w:tc>
          <w:tcPr>
            <w:tcW w:type="dxa" w:w="2976"/>
            <w:shd w:val="clear" w:color="auto" w:fill="F0F4FF"/>
          </w:tcPr>
          <w:p>
            <w:r>
              <w:rPr>
                <w:sz w:val="20"/>
              </w:rPr>
              <w:t>Operations/G&amp;A</w:t>
            </w:r>
          </w:p>
        </w:tc>
        <w:tc>
          <w:tcPr>
            <w:tcW w:type="dxa" w:w="2976"/>
            <w:shd w:val="clear" w:color="auto" w:fill="F0F4FF"/>
          </w:tcPr>
          <w:p>
            <w:r>
              <w:rPr>
                <w:sz w:val="20"/>
              </w:rPr>
              <w:t>$0.7M (16%)</w:t>
            </w:r>
          </w:p>
        </w:tc>
        <w:tc>
          <w:tcPr>
            <w:tcW w:type="dxa" w:w="2976"/>
            <w:shd w:val="clear" w:color="auto" w:fill="F0F4FF"/>
          </w:tcPr>
          <w:p>
            <w:r>
              <w:rPr>
                <w:sz w:val="20"/>
              </w:rPr>
              <w:t>Finance, HR, compliance infrastructure</w:t>
            </w:r>
          </w:p>
        </w:tc>
      </w:tr>
      <w:tr>
        <w:tc>
          <w:tcPr>
            <w:tcW w:type="dxa" w:w="2976"/>
            <w:shd w:val="clear" w:color="auto" w:fill="FFFFFF"/>
          </w:tcPr>
          <w:p>
            <w:r>
              <w:rPr>
                <w:sz w:val="20"/>
              </w:rPr>
              <w:t>Reserve</w:t>
            </w:r>
          </w:p>
        </w:tc>
        <w:tc>
          <w:tcPr>
            <w:tcW w:type="dxa" w:w="2976"/>
            <w:shd w:val="clear" w:color="auto" w:fill="FFFFFF"/>
          </w:tcPr>
          <w:p>
            <w:r>
              <w:rPr>
                <w:sz w:val="20"/>
              </w:rPr>
              <w:t>$0.4M (9%)</w:t>
            </w:r>
          </w:p>
        </w:tc>
        <w:tc>
          <w:tcPr>
            <w:tcW w:type="dxa" w:w="2976"/>
            <w:shd w:val="clear" w:color="auto" w:fill="FFFFFF"/>
          </w:tcPr>
          <w:p>
            <w:r>
              <w:rPr>
                <w:sz w:val="20"/>
              </w:rPr>
              <w:t>18-month operating buffer</w:t>
            </w:r>
          </w:p>
        </w:tc>
      </w:tr>
    </w:tbl>
    <w:p/>
    <w:p>
      <w:pPr>
        <w:spacing w:before="40" w:after="40"/>
        <w:pBdr>
          <w:bottom w:val="single" w:sz="6" w:space="1" w:color="CBD5E1"/>
        </w:pBdr>
      </w:pPr>
    </w:p>
    <w:p>
      <w:pPr>
        <w:spacing w:before="200" w:after="80"/>
        <w:jc w:val="left"/>
      </w:pPr>
      <w:r>
        <w:rPr>
          <w:b/>
          <w:color w:val="1E40AF"/>
          <w:sz w:val="22"/>
        </w:rPr>
        <w:t>TEAM</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CEO: Marcus Webb</w:t>
            </w:r>
          </w:p>
        </w:tc>
        <w:tc>
          <w:tcPr>
            <w:tcW w:type="dxa" w:w="4464"/>
            <w:shd w:val="clear" w:color="auto" w:fill="FFFFFF"/>
          </w:tcPr>
          <w:p>
            <w:r>
              <w:rPr>
                <w:sz w:val="20"/>
              </w:rPr>
              <w:t>Former VP Product, DocuSign. 12 years enterprise SaaS. MBA, Wharton.</w:t>
            </w:r>
          </w:p>
        </w:tc>
      </w:tr>
      <w:tr>
        <w:tc>
          <w:tcPr>
            <w:tcW w:type="dxa" w:w="4464"/>
            <w:shd w:val="clear" w:color="auto" w:fill="FFFFFF"/>
          </w:tcPr>
          <w:p>
            <w:r>
              <w:rPr>
                <w:b/>
                <w:color w:val="1E293B"/>
                <w:sz w:val="20"/>
              </w:rPr>
              <w:t>CTO: Priya Nair</w:t>
            </w:r>
          </w:p>
        </w:tc>
        <w:tc>
          <w:tcPr>
            <w:tcW w:type="dxa" w:w="4464"/>
            <w:shd w:val="clear" w:color="auto" w:fill="FFFFFF"/>
          </w:tcPr>
          <w:p>
            <w:r>
              <w:rPr>
                <w:sz w:val="20"/>
              </w:rPr>
              <w:t>Ex-Google SWE. AI/ML specialist. 3 patents in document understanding. MS CS, MIT.</w:t>
            </w:r>
          </w:p>
        </w:tc>
      </w:tr>
      <w:tr>
        <w:tc>
          <w:tcPr>
            <w:tcW w:type="dxa" w:w="4464"/>
            <w:shd w:val="clear" w:color="auto" w:fill="F0F4FF"/>
          </w:tcPr>
          <w:p>
            <w:r>
              <w:rPr>
                <w:b/>
                <w:color w:val="1E293B"/>
                <w:sz w:val="20"/>
              </w:rPr>
              <w:t>VP Sales: Jordan Lee</w:t>
            </w:r>
          </w:p>
        </w:tc>
        <w:tc>
          <w:tcPr>
            <w:tcW w:type="dxa" w:w="4464"/>
            <w:shd w:val="clear" w:color="auto" w:fill="FFFFFF"/>
          </w:tcPr>
          <w:p>
            <w:r>
              <w:rPr>
                <w:sz w:val="20"/>
              </w:rPr>
              <w:t>Built 0-$8M ARR at Ironclad. Former enterprise account executive, Salesforce.</w:t>
            </w:r>
          </w:p>
        </w:tc>
      </w:tr>
    </w:tbl>
    <w:p/>
    <w:p>
      <w:pPr>
        <w:spacing w:before="40" w:after="40"/>
        <w:pBdr>
          <w:bottom w:val="single" w:sz="6" w:space="1" w:color="CBD5E1"/>
        </w:pBdr>
      </w:pPr>
    </w:p>
    <w:p>
      <w:pPr>
        <w:spacing w:before="200" w:after="80"/>
        <w:jc w:val="left"/>
      </w:pPr>
      <w:r>
        <w:rPr>
          <w:b/>
          <w:color w:val="1E40AF"/>
          <w:sz w:val="22"/>
        </w:rPr>
        <w:t>INVESTMENT ASK</w:t>
      </w:r>
    </w:p>
    <w:p>
      <w:pPr>
        <w:spacing w:after="100"/>
      </w:pPr>
      <w:r>
        <w:rPr>
          <w:color w:val="1E293B"/>
          <w:sz w:val="22"/>
        </w:rPr>
        <w:t>NexaFlow is seeking $4.5M in Series A financing to accelerate go-to-market and complete the AI classifier v2 product milestone. Currently 60% subscribed with two term sheets received. Expected close: June 2026. Contact: marcus@nexaflow.io</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